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884" w:rsidRDefault="00387F13" w:rsidP="00B41632">
      <w:pPr>
        <w:spacing w:line="360" w:lineRule="auto"/>
        <w:jc w:val="center"/>
        <w:rPr>
          <w:rFonts w:ascii="Times New Roman" w:hAnsi="Times New Roman" w:cs="Times New Roman"/>
          <w:b/>
          <w:sz w:val="24"/>
          <w:szCs w:val="24"/>
        </w:rPr>
      </w:pPr>
      <w:r w:rsidRPr="00F407C4">
        <w:rPr>
          <w:rFonts w:ascii="Times New Roman" w:hAnsi="Times New Roman" w:cs="Times New Roman"/>
          <w:b/>
          <w:sz w:val="24"/>
          <w:szCs w:val="24"/>
        </w:rPr>
        <w:t>Administration of Pension Funds</w:t>
      </w:r>
      <w:r>
        <w:rPr>
          <w:rFonts w:ascii="Times New Roman" w:hAnsi="Times New Roman" w:cs="Times New Roman"/>
          <w:b/>
          <w:sz w:val="24"/>
          <w:szCs w:val="24"/>
        </w:rPr>
        <w:t xml:space="preserve"> under</w:t>
      </w:r>
      <w:r w:rsidR="00716884" w:rsidRPr="00F407C4">
        <w:rPr>
          <w:rFonts w:ascii="Times New Roman" w:hAnsi="Times New Roman" w:cs="Times New Roman"/>
          <w:b/>
          <w:sz w:val="24"/>
          <w:szCs w:val="24"/>
        </w:rPr>
        <w:t xml:space="preserve"> </w:t>
      </w:r>
      <w:r w:rsidR="00B2262C" w:rsidRPr="00F407C4">
        <w:rPr>
          <w:rFonts w:ascii="Times New Roman" w:hAnsi="Times New Roman" w:cs="Times New Roman"/>
          <w:b/>
          <w:sz w:val="24"/>
          <w:szCs w:val="24"/>
        </w:rPr>
        <w:t>Nigerian New Contributory Pension Scheme</w:t>
      </w:r>
      <w:r>
        <w:rPr>
          <w:rFonts w:ascii="Times New Roman" w:hAnsi="Times New Roman" w:cs="Times New Roman"/>
          <w:b/>
          <w:sz w:val="24"/>
          <w:szCs w:val="24"/>
        </w:rPr>
        <w:t>: A Review</w:t>
      </w:r>
      <w:r w:rsidR="00716884" w:rsidRPr="00F407C4">
        <w:rPr>
          <w:rFonts w:ascii="Times New Roman" w:hAnsi="Times New Roman" w:cs="Times New Roman"/>
          <w:b/>
          <w:sz w:val="24"/>
          <w:szCs w:val="24"/>
        </w:rPr>
        <w:t xml:space="preserve"> </w:t>
      </w:r>
      <w:r w:rsidR="00B2262C" w:rsidRPr="00F407C4">
        <w:rPr>
          <w:rFonts w:ascii="Times New Roman" w:hAnsi="Times New Roman" w:cs="Times New Roman"/>
          <w:b/>
          <w:sz w:val="24"/>
          <w:szCs w:val="24"/>
        </w:rPr>
        <w:t>under Islamic Law</w:t>
      </w:r>
    </w:p>
    <w:p w:rsidR="00332974" w:rsidRDefault="00332974" w:rsidP="00332974">
      <w:pPr>
        <w:spacing w:line="360" w:lineRule="auto"/>
        <w:jc w:val="center"/>
        <w:rPr>
          <w:rFonts w:ascii="Times New Roman" w:hAnsi="Times New Roman" w:cs="Times New Roman"/>
          <w:b/>
          <w:sz w:val="24"/>
          <w:szCs w:val="24"/>
        </w:rPr>
      </w:pPr>
    </w:p>
    <w:p w:rsidR="00381799" w:rsidRDefault="00AA58BF" w:rsidP="00AA58B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Onikosi Ahmed Adedeji* </w:t>
      </w:r>
      <w:r w:rsidR="00332974">
        <w:rPr>
          <w:rFonts w:ascii="Times New Roman" w:hAnsi="Times New Roman" w:cs="Times New Roman"/>
          <w:b/>
          <w:sz w:val="24"/>
          <w:szCs w:val="24"/>
        </w:rPr>
        <w:t>A</w:t>
      </w:r>
      <w:r>
        <w:rPr>
          <w:rFonts w:ascii="Times New Roman" w:hAnsi="Times New Roman" w:cs="Times New Roman"/>
          <w:b/>
          <w:sz w:val="24"/>
          <w:szCs w:val="24"/>
        </w:rPr>
        <w:t xml:space="preserve">dekunle A. Aminu** &amp; </w:t>
      </w:r>
      <w:r w:rsidR="00332974">
        <w:rPr>
          <w:rFonts w:ascii="Times New Roman" w:hAnsi="Times New Roman" w:cs="Times New Roman"/>
          <w:b/>
          <w:sz w:val="24"/>
          <w:szCs w:val="24"/>
        </w:rPr>
        <w:t>Ahmed A. Muhammed-Mikaaeel</w:t>
      </w:r>
      <w:r>
        <w:rPr>
          <w:rFonts w:ascii="Times New Roman" w:hAnsi="Times New Roman" w:cs="Times New Roman"/>
          <w:b/>
          <w:sz w:val="24"/>
          <w:szCs w:val="24"/>
        </w:rPr>
        <w:t>***</w:t>
      </w:r>
    </w:p>
    <w:p w:rsidR="00332974" w:rsidRDefault="00332974" w:rsidP="00381799">
      <w:pPr>
        <w:spacing w:line="360" w:lineRule="auto"/>
        <w:jc w:val="center"/>
        <w:rPr>
          <w:rFonts w:ascii="Times New Roman" w:hAnsi="Times New Roman" w:cs="Times New Roman"/>
          <w:b/>
          <w:sz w:val="24"/>
          <w:szCs w:val="24"/>
        </w:rPr>
      </w:pPr>
    </w:p>
    <w:p w:rsidR="00381799" w:rsidRDefault="009D698E" w:rsidP="0033297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BA7BD4" w:rsidRDefault="00FE05BB" w:rsidP="00332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Search for financial</w:t>
      </w:r>
      <w:r w:rsidRPr="00FE05BB">
        <w:rPr>
          <w:rFonts w:ascii="Times New Roman" w:hAnsi="Times New Roman" w:cs="Times New Roman"/>
          <w:sz w:val="24"/>
          <w:szCs w:val="24"/>
        </w:rPr>
        <w:t xml:space="preserve"> </w:t>
      </w:r>
      <w:r>
        <w:rPr>
          <w:rFonts w:ascii="Times New Roman" w:hAnsi="Times New Roman" w:cs="Times New Roman"/>
          <w:sz w:val="24"/>
          <w:szCs w:val="24"/>
        </w:rPr>
        <w:t>s</w:t>
      </w:r>
      <w:r w:rsidRPr="00FE05BB">
        <w:rPr>
          <w:rFonts w:ascii="Times New Roman" w:hAnsi="Times New Roman" w:cs="Times New Roman"/>
          <w:sz w:val="24"/>
          <w:szCs w:val="24"/>
        </w:rPr>
        <w:t>ecurity after active service years</w:t>
      </w:r>
      <w:r>
        <w:rPr>
          <w:rFonts w:ascii="Times New Roman" w:hAnsi="Times New Roman" w:cs="Times New Roman"/>
          <w:sz w:val="24"/>
          <w:szCs w:val="24"/>
        </w:rPr>
        <w:t xml:space="preserve"> of employees in Nigeria gave birth to pension scheme regimes in Nigeria. The focus point of the new pension scheme is security of funds and reasonable investment for profitability. </w:t>
      </w:r>
      <w:r w:rsidR="002577FC">
        <w:rPr>
          <w:rFonts w:ascii="Times New Roman" w:hAnsi="Times New Roman" w:cs="Times New Roman"/>
          <w:sz w:val="24"/>
          <w:szCs w:val="24"/>
        </w:rPr>
        <w:t>Lots of Muslim subscribers have been complaining against the present administration regime of their pension funds. Hence, this paper examines the administration of funds under the new contributory pension scheme from Islamic law perspective. The paper adopts doctrinal method of legal research. It was discovered that Shari’ah is very much interested in what happens to Muslim funds inclusive of the pension funds.</w:t>
      </w:r>
      <w:r w:rsidR="000B2865">
        <w:rPr>
          <w:rFonts w:ascii="Times New Roman" w:hAnsi="Times New Roman" w:cs="Times New Roman"/>
          <w:sz w:val="24"/>
          <w:szCs w:val="24"/>
        </w:rPr>
        <w:t xml:space="preserve"> The paper discovered further that the administration of pension funds in Nigeria is marred with </w:t>
      </w:r>
      <w:r w:rsidR="000B2865" w:rsidRPr="000B2865">
        <w:rPr>
          <w:rFonts w:ascii="Times New Roman" w:hAnsi="Times New Roman" w:cs="Times New Roman"/>
          <w:i/>
          <w:sz w:val="24"/>
          <w:szCs w:val="24"/>
        </w:rPr>
        <w:t xml:space="preserve">gharar, riba </w:t>
      </w:r>
      <w:r w:rsidR="000B2865" w:rsidRPr="000B2865">
        <w:rPr>
          <w:rFonts w:ascii="Times New Roman" w:hAnsi="Times New Roman" w:cs="Times New Roman"/>
          <w:sz w:val="24"/>
          <w:szCs w:val="24"/>
        </w:rPr>
        <w:t>and</w:t>
      </w:r>
      <w:r w:rsidR="000B2865" w:rsidRPr="000B2865">
        <w:rPr>
          <w:rFonts w:ascii="Times New Roman" w:hAnsi="Times New Roman" w:cs="Times New Roman"/>
          <w:i/>
          <w:sz w:val="24"/>
          <w:szCs w:val="24"/>
        </w:rPr>
        <w:t xml:space="preserve"> maisir</w:t>
      </w:r>
      <w:r w:rsidR="000B2865">
        <w:rPr>
          <w:rFonts w:ascii="Times New Roman" w:hAnsi="Times New Roman" w:cs="Times New Roman"/>
          <w:sz w:val="24"/>
          <w:szCs w:val="24"/>
        </w:rPr>
        <w:t xml:space="preserve"> and thus violates Shari’ah tenet. The paper discovered also that the present structure of pension scheme in Nigeria which lacks Shari’ah Advisory Board has been responsible for the continuous violation of Shari’ah tenet in the administration of pension funds. The paper thus principally recommends amendment of the extant pension regime to pave way for Shari’ah Advisory Board to guide on administration of pension funds. </w:t>
      </w:r>
    </w:p>
    <w:p w:rsidR="00395405" w:rsidRPr="00FE05BB" w:rsidRDefault="000B2865" w:rsidP="00BA7BD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577FC">
        <w:rPr>
          <w:rFonts w:ascii="Times New Roman" w:hAnsi="Times New Roman" w:cs="Times New Roman"/>
          <w:sz w:val="24"/>
          <w:szCs w:val="24"/>
        </w:rPr>
        <w:t xml:space="preserve">       </w:t>
      </w:r>
      <w:r w:rsidR="002577FC" w:rsidRPr="00FE05BB">
        <w:rPr>
          <w:rFonts w:ascii="Times New Roman" w:hAnsi="Times New Roman" w:cs="Times New Roman"/>
          <w:sz w:val="24"/>
          <w:szCs w:val="24"/>
        </w:rPr>
        <w:t xml:space="preserve">  </w:t>
      </w:r>
    </w:p>
    <w:p w:rsidR="00381799" w:rsidRPr="00F407C4" w:rsidRDefault="00381799" w:rsidP="00381799">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Key words: </w:t>
      </w:r>
      <w:r w:rsidRPr="00FD31DC">
        <w:rPr>
          <w:rFonts w:ascii="Times New Roman" w:hAnsi="Times New Roman" w:cs="Times New Roman"/>
          <w:i/>
          <w:sz w:val="24"/>
          <w:szCs w:val="24"/>
        </w:rPr>
        <w:t>Administration, Pension Funds, Nigerian New Contributory Pension Scheme, Islamic Law, Review</w:t>
      </w:r>
      <w:r>
        <w:rPr>
          <w:rFonts w:ascii="Times New Roman" w:hAnsi="Times New Roman" w:cs="Times New Roman"/>
          <w:b/>
          <w:sz w:val="24"/>
          <w:szCs w:val="24"/>
        </w:rPr>
        <w:t xml:space="preserve">   </w:t>
      </w:r>
    </w:p>
    <w:p w:rsidR="00716884" w:rsidRPr="00F407C4" w:rsidRDefault="00716884" w:rsidP="00F407C4">
      <w:pPr>
        <w:spacing w:line="360" w:lineRule="auto"/>
        <w:jc w:val="both"/>
        <w:rPr>
          <w:rFonts w:ascii="Times New Roman" w:hAnsi="Times New Roman" w:cs="Times New Roman"/>
          <w:b/>
          <w:sz w:val="24"/>
          <w:szCs w:val="24"/>
        </w:rPr>
      </w:pPr>
      <w:r w:rsidRPr="00F407C4">
        <w:rPr>
          <w:rFonts w:ascii="Times New Roman" w:hAnsi="Times New Roman" w:cs="Times New Roman"/>
          <w:b/>
          <w:sz w:val="24"/>
          <w:szCs w:val="24"/>
        </w:rPr>
        <w:t>1. Introduction</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Generally, a discussion on the Islamic perspective on pension funds makes the topic fall inexcusably under the purview of Islamic finance. The fundamental characteristic of the Islamic finance system today is based on the Qur’an directive which bans the payment and or receipt of interest, gambling, uncertainty and the sharing of profit and loss. The philosophical basis of the Islamic finance system goes beyond the interaction of factors in production and economic behavior.</w:t>
      </w:r>
      <w:r w:rsidRPr="00F407C4">
        <w:rPr>
          <w:rStyle w:val="FootnoteReference"/>
          <w:rFonts w:ascii="Times New Roman" w:hAnsi="Times New Roman" w:cs="Times New Roman"/>
          <w:sz w:val="24"/>
          <w:szCs w:val="24"/>
        </w:rPr>
        <w:footnoteReference w:id="2"/>
      </w:r>
      <w:r w:rsidRPr="00F407C4">
        <w:rPr>
          <w:rFonts w:ascii="Times New Roman" w:hAnsi="Times New Roman" w:cs="Times New Roman"/>
          <w:sz w:val="24"/>
          <w:szCs w:val="24"/>
        </w:rPr>
        <w:t xml:space="preserve"> While the conventional financial system focuses primarily on the economic and </w:t>
      </w:r>
      <w:r w:rsidRPr="00F407C4">
        <w:rPr>
          <w:rFonts w:ascii="Times New Roman" w:hAnsi="Times New Roman" w:cs="Times New Roman"/>
          <w:sz w:val="24"/>
          <w:szCs w:val="24"/>
        </w:rPr>
        <w:lastRenderedPageBreak/>
        <w:t xml:space="preserve">financial aspects of transactions, the Islamic system places equal emphasis on the ethical, moral, social, and religious dimensions.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In addition, Islamic law prohibits investing in businesses that are considered unlawful. These businesses may include, but are certainly not limited to businesses that sell alcohol or pork, or produce gossip columns or pornography. Due to these prohibitions, observant Muslims require specialized </w:t>
      </w:r>
      <w:r w:rsidR="00474383"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compliant alternative arrangements from financial institutions.</w:t>
      </w:r>
    </w:p>
    <w:p w:rsidR="00072E4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Pension funds, being a species of Islamic finance must also in its entirety conform to the standards of transaction allowed within the confines of the  </w:t>
      </w:r>
      <w:r w:rsidR="00072E44"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without an exception i.e. such  utilization of pension funds must be invested or utilized in such a way that it does not run contrary to the principles guiding  usury, uncertainty or gambling.</w:t>
      </w:r>
    </w:p>
    <w:p w:rsidR="000A06A5" w:rsidRPr="00F407C4" w:rsidRDefault="00072E44" w:rsidP="00F407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Against the foregoing backdrop, this paper examines administration of pension funds under the new Nigerian pension scheme from Islamic law perspective.  </w:t>
      </w:r>
      <w:r w:rsidR="000A06A5" w:rsidRPr="00F407C4">
        <w:rPr>
          <w:rFonts w:ascii="Times New Roman" w:hAnsi="Times New Roman" w:cs="Times New Roman"/>
          <w:sz w:val="24"/>
          <w:szCs w:val="24"/>
        </w:rPr>
        <w:t xml:space="preserve">   </w:t>
      </w:r>
    </w:p>
    <w:p w:rsidR="000A06A5" w:rsidRPr="00F407C4" w:rsidRDefault="00662573" w:rsidP="00F407C4">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0A06A5" w:rsidRPr="00F407C4">
        <w:rPr>
          <w:rFonts w:ascii="Times New Roman" w:hAnsi="Times New Roman" w:cs="Times New Roman"/>
          <w:b/>
          <w:sz w:val="24"/>
          <w:szCs w:val="24"/>
        </w:rPr>
        <w:t xml:space="preserve">. </w:t>
      </w:r>
      <w:r w:rsidR="00474383">
        <w:rPr>
          <w:rFonts w:ascii="Times New Roman" w:hAnsi="Times New Roman" w:cs="Times New Roman"/>
          <w:b/>
          <w:sz w:val="24"/>
          <w:szCs w:val="24"/>
        </w:rPr>
        <w:t xml:space="preserve">Understanding the </w:t>
      </w:r>
      <w:r w:rsidR="000A06A5" w:rsidRPr="00F407C4">
        <w:rPr>
          <w:rFonts w:ascii="Times New Roman" w:hAnsi="Times New Roman" w:cs="Times New Roman"/>
          <w:b/>
          <w:sz w:val="24"/>
          <w:szCs w:val="24"/>
        </w:rPr>
        <w:t>Purports of the Pension Funds</w:t>
      </w:r>
    </w:p>
    <w:p w:rsidR="00C73E95" w:rsidRPr="00F407C4" w:rsidRDefault="000A06A5" w:rsidP="00C73E95">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The primary economic function of a pension plan is to provide retirement income security to plan beneficiaries. This is the conventional view of pensions expressed by most pension professionals</w:t>
      </w:r>
      <w:r w:rsidR="00C73E95">
        <w:rPr>
          <w:rFonts w:ascii="Times New Roman" w:hAnsi="Times New Roman" w:cs="Times New Roman"/>
          <w:sz w:val="24"/>
          <w:szCs w:val="24"/>
        </w:rPr>
        <w:t>.</w:t>
      </w:r>
      <w:r w:rsidRPr="00F407C4">
        <w:rPr>
          <w:rStyle w:val="FootnoteReference"/>
          <w:rFonts w:ascii="Times New Roman" w:hAnsi="Times New Roman" w:cs="Times New Roman"/>
          <w:sz w:val="24"/>
          <w:szCs w:val="24"/>
        </w:rPr>
        <w:footnoteReference w:id="3"/>
      </w:r>
      <w:r w:rsidR="00C73E95">
        <w:rPr>
          <w:rFonts w:ascii="Times New Roman" w:hAnsi="Times New Roman" w:cs="Times New Roman"/>
          <w:sz w:val="24"/>
          <w:szCs w:val="24"/>
        </w:rPr>
        <w:t xml:space="preserve"> Thus</w:t>
      </w:r>
      <w:r w:rsidR="00C73E95" w:rsidRPr="00F407C4">
        <w:rPr>
          <w:rFonts w:ascii="Times New Roman" w:hAnsi="Times New Roman" w:cs="Times New Roman"/>
          <w:sz w:val="24"/>
          <w:szCs w:val="24"/>
        </w:rPr>
        <w:t xml:space="preserve"> </w:t>
      </w:r>
      <w:r w:rsidR="00C73E95">
        <w:rPr>
          <w:rFonts w:ascii="Times New Roman" w:hAnsi="Times New Roman" w:cs="Times New Roman"/>
          <w:sz w:val="24"/>
          <w:szCs w:val="24"/>
        </w:rPr>
        <w:t>the</w:t>
      </w:r>
      <w:r w:rsidR="00C73E95" w:rsidRPr="00F407C4">
        <w:rPr>
          <w:rFonts w:ascii="Times New Roman" w:hAnsi="Times New Roman" w:cs="Times New Roman"/>
          <w:sz w:val="24"/>
          <w:szCs w:val="24"/>
        </w:rPr>
        <w:t xml:space="preserve"> concern of the new pension scheme is safety of the fund and the maintenance of fair returns on the amount invested</w:t>
      </w:r>
      <w:r w:rsidR="00C73E95">
        <w:rPr>
          <w:rFonts w:ascii="Times New Roman" w:hAnsi="Times New Roman" w:cs="Times New Roman"/>
          <w:sz w:val="24"/>
          <w:szCs w:val="24"/>
        </w:rPr>
        <w:t>.</w:t>
      </w:r>
      <w:r w:rsidR="00C73E95" w:rsidRPr="00F407C4">
        <w:rPr>
          <w:rStyle w:val="FootnoteReference"/>
          <w:rFonts w:ascii="Times New Roman" w:hAnsi="Times New Roman" w:cs="Times New Roman"/>
          <w:sz w:val="24"/>
          <w:szCs w:val="24"/>
        </w:rPr>
        <w:footnoteReference w:id="4"/>
      </w:r>
      <w:r w:rsidR="00C73E95" w:rsidRPr="00F407C4">
        <w:rPr>
          <w:rFonts w:ascii="Times New Roman" w:hAnsi="Times New Roman" w:cs="Times New Roman"/>
          <w:sz w:val="24"/>
          <w:szCs w:val="24"/>
        </w:rPr>
        <w:t xml:space="preserve"> The need for safety is emphasized in</w:t>
      </w:r>
      <w:r w:rsidR="00EC5BCE">
        <w:rPr>
          <w:rFonts w:ascii="Times New Roman" w:hAnsi="Times New Roman" w:cs="Times New Roman"/>
          <w:sz w:val="24"/>
          <w:szCs w:val="24"/>
        </w:rPr>
        <w:t xml:space="preserve"> </w:t>
      </w:r>
      <w:r w:rsidR="00C73E95" w:rsidRPr="00F407C4">
        <w:rPr>
          <w:rFonts w:ascii="Times New Roman" w:hAnsi="Times New Roman" w:cs="Times New Roman"/>
          <w:sz w:val="24"/>
          <w:szCs w:val="24"/>
        </w:rPr>
        <w:t xml:space="preserve">determining the quality of the instrument to invest in and a </w:t>
      </w:r>
      <w:r w:rsidR="00712BC1">
        <w:rPr>
          <w:rFonts w:ascii="Times New Roman" w:hAnsi="Times New Roman" w:cs="Times New Roman"/>
          <w:sz w:val="24"/>
          <w:szCs w:val="24"/>
        </w:rPr>
        <w:t>Pension Fund Administrator (</w:t>
      </w:r>
      <w:r w:rsidR="00C73E95" w:rsidRPr="00F407C4">
        <w:rPr>
          <w:rFonts w:ascii="Times New Roman" w:hAnsi="Times New Roman" w:cs="Times New Roman"/>
          <w:sz w:val="24"/>
          <w:szCs w:val="24"/>
        </w:rPr>
        <w:t>PFA</w:t>
      </w:r>
      <w:r w:rsidR="00712BC1">
        <w:rPr>
          <w:rFonts w:ascii="Times New Roman" w:hAnsi="Times New Roman" w:cs="Times New Roman"/>
          <w:sz w:val="24"/>
          <w:szCs w:val="24"/>
        </w:rPr>
        <w:t>)</w:t>
      </w:r>
      <w:r w:rsidR="00C73E95" w:rsidRPr="00F407C4">
        <w:rPr>
          <w:rFonts w:ascii="Times New Roman" w:hAnsi="Times New Roman" w:cs="Times New Roman"/>
          <w:sz w:val="24"/>
          <w:szCs w:val="24"/>
        </w:rPr>
        <w:t xml:space="preserve"> is expected to adopt a risk management profile in making investment decisions with due regard to the credit rating of companies registered under the investment and Securities Acts of 1999. PFA was expected to appoint risk management and investment strategy committees. The risk management committee determines the risk profile of investment portfolio and ensures adequate internal control measures and procedures. The investment strategy committee determines the </w:t>
      </w:r>
      <w:r w:rsidR="00C73E95" w:rsidRPr="00F407C4">
        <w:rPr>
          <w:rFonts w:ascii="Times New Roman" w:hAnsi="Times New Roman" w:cs="Times New Roman"/>
          <w:sz w:val="24"/>
          <w:szCs w:val="24"/>
        </w:rPr>
        <w:lastRenderedPageBreak/>
        <w:t>portfolio mix consistent with the risk profile, evaluate and review the performance of investment on periodic basis</w:t>
      </w:r>
      <w:r w:rsidR="00C73E95" w:rsidRPr="00F407C4">
        <w:rPr>
          <w:rStyle w:val="FootnoteReference"/>
          <w:rFonts w:ascii="Times New Roman" w:hAnsi="Times New Roman" w:cs="Times New Roman"/>
          <w:sz w:val="24"/>
          <w:szCs w:val="24"/>
        </w:rPr>
        <w:footnoteReference w:id="5"/>
      </w:r>
      <w:r w:rsidR="00C73E95" w:rsidRPr="00F407C4">
        <w:rPr>
          <w:rFonts w:ascii="Times New Roman" w:hAnsi="Times New Roman" w:cs="Times New Roman"/>
          <w:sz w:val="24"/>
          <w:szCs w:val="24"/>
        </w:rPr>
        <w:t xml:space="preserve">.  </w:t>
      </w:r>
    </w:p>
    <w:p w:rsidR="00C73E95" w:rsidRPr="00F407C4" w:rsidRDefault="00C73E95" w:rsidP="00C73E95">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Against the guaranteed structure, the PFA is to invest in the any of the following as specified by Section 86: </w:t>
      </w:r>
    </w:p>
    <w:p w:rsidR="00C73E95" w:rsidRPr="00EC5BCE" w:rsidRDefault="00C73E95" w:rsidP="00C73E95">
      <w:pPr>
        <w:spacing w:after="0" w:line="240" w:lineRule="auto"/>
        <w:ind w:left="1440"/>
        <w:jc w:val="both"/>
        <w:rPr>
          <w:rFonts w:ascii="Times New Roman" w:hAnsi="Times New Roman" w:cs="Times New Roman"/>
        </w:rPr>
      </w:pPr>
      <w:r w:rsidRPr="00EC5BCE">
        <w:rPr>
          <w:rFonts w:ascii="Times New Roman" w:hAnsi="Times New Roman" w:cs="Times New Roman"/>
        </w:rPr>
        <w:t xml:space="preserve">(a) Bonds, bills and the securities issued or guaranteed by Federal Government or the Central Bank of Nigeria </w:t>
      </w:r>
    </w:p>
    <w:p w:rsidR="00C73E95" w:rsidRPr="00EC5BCE" w:rsidRDefault="00C73E95" w:rsidP="00C73E95">
      <w:pPr>
        <w:spacing w:after="0" w:line="240" w:lineRule="auto"/>
        <w:ind w:left="1440"/>
        <w:jc w:val="both"/>
        <w:rPr>
          <w:rFonts w:ascii="Times New Roman" w:hAnsi="Times New Roman" w:cs="Times New Roman"/>
        </w:rPr>
      </w:pPr>
      <w:r w:rsidRPr="00EC5BCE">
        <w:rPr>
          <w:rFonts w:ascii="Times New Roman" w:hAnsi="Times New Roman" w:cs="Times New Roman"/>
        </w:rPr>
        <w:t xml:space="preserve">(b) Bonds, bills and other securities issued by states and local government </w:t>
      </w:r>
    </w:p>
    <w:p w:rsidR="00C73E95" w:rsidRPr="00EC5BCE" w:rsidRDefault="00C73E95" w:rsidP="00C73E95">
      <w:pPr>
        <w:spacing w:after="0" w:line="240" w:lineRule="auto"/>
        <w:ind w:left="1440"/>
        <w:jc w:val="both"/>
        <w:rPr>
          <w:rFonts w:ascii="Times New Roman" w:hAnsi="Times New Roman" w:cs="Times New Roman"/>
        </w:rPr>
      </w:pPr>
      <w:r w:rsidRPr="00EC5BCE">
        <w:rPr>
          <w:rFonts w:ascii="Times New Roman" w:hAnsi="Times New Roman" w:cs="Times New Roman"/>
        </w:rPr>
        <w:t>(c) bonds, debenture, redeemable preference shares and other debt instruments issued by listed corporate entities and listed on a stock Exchange registered under the investment and Securities Act</w:t>
      </w:r>
    </w:p>
    <w:p w:rsidR="00C73E95" w:rsidRPr="00EC5BCE" w:rsidRDefault="00C73E95" w:rsidP="00C73E95">
      <w:pPr>
        <w:spacing w:after="0" w:line="240" w:lineRule="auto"/>
        <w:ind w:left="1440"/>
        <w:jc w:val="both"/>
        <w:rPr>
          <w:rFonts w:ascii="Times New Roman" w:hAnsi="Times New Roman" w:cs="Times New Roman"/>
        </w:rPr>
      </w:pPr>
      <w:r w:rsidRPr="00EC5BCE">
        <w:rPr>
          <w:rFonts w:ascii="Times New Roman" w:hAnsi="Times New Roman" w:cs="Times New Roman"/>
        </w:rPr>
        <w:t>(d) Ordinary shares of public limited companies listed on a securities exchange registered under the investment and Securities Act</w:t>
      </w:r>
    </w:p>
    <w:p w:rsidR="00C73E95" w:rsidRPr="00EC5BCE" w:rsidRDefault="00C73E95" w:rsidP="00C73E95">
      <w:pPr>
        <w:spacing w:after="0" w:line="240" w:lineRule="auto"/>
        <w:ind w:left="720" w:firstLine="720"/>
        <w:jc w:val="both"/>
        <w:rPr>
          <w:rFonts w:ascii="Times New Roman" w:hAnsi="Times New Roman" w:cs="Times New Roman"/>
        </w:rPr>
      </w:pPr>
      <w:r w:rsidRPr="00EC5BCE">
        <w:rPr>
          <w:rFonts w:ascii="Times New Roman" w:hAnsi="Times New Roman" w:cs="Times New Roman"/>
        </w:rPr>
        <w:t xml:space="preserve">(e) Bank deposits and securities </w:t>
      </w:r>
    </w:p>
    <w:p w:rsidR="00C73E95" w:rsidRPr="00EC5BCE" w:rsidRDefault="00C73E95" w:rsidP="00C73E95">
      <w:pPr>
        <w:spacing w:after="0" w:line="240" w:lineRule="auto"/>
        <w:ind w:left="1440"/>
        <w:jc w:val="both"/>
        <w:rPr>
          <w:rFonts w:ascii="Times New Roman" w:hAnsi="Times New Roman" w:cs="Times New Roman"/>
        </w:rPr>
      </w:pPr>
      <w:r w:rsidRPr="00EC5BCE">
        <w:rPr>
          <w:rFonts w:ascii="Times New Roman" w:hAnsi="Times New Roman" w:cs="Times New Roman"/>
        </w:rPr>
        <w:t>(f) Investment certificates of closed-end investment fund or hybrid investment fund listed on a securities exchange registered under the investment and Securities Act</w:t>
      </w:r>
    </w:p>
    <w:p w:rsidR="00C73E95" w:rsidRPr="00EC5BCE" w:rsidRDefault="00C73E95" w:rsidP="00C73E95">
      <w:pPr>
        <w:spacing w:after="0" w:line="240" w:lineRule="auto"/>
        <w:ind w:left="1440"/>
        <w:jc w:val="both"/>
        <w:rPr>
          <w:rFonts w:ascii="Times New Roman" w:hAnsi="Times New Roman" w:cs="Times New Roman"/>
        </w:rPr>
      </w:pPr>
      <w:r w:rsidRPr="00EC5BCE">
        <w:rPr>
          <w:rFonts w:ascii="Times New Roman" w:hAnsi="Times New Roman" w:cs="Times New Roman"/>
        </w:rPr>
        <w:t>(g) units sold by open-end investment funds or specialist open-end investment funds registered under the investment and securities act</w:t>
      </w:r>
    </w:p>
    <w:p w:rsidR="00C73E95" w:rsidRPr="00EC5BCE" w:rsidRDefault="00C73E95" w:rsidP="00C73E95">
      <w:pPr>
        <w:spacing w:after="0" w:line="240" w:lineRule="auto"/>
        <w:ind w:left="720" w:firstLine="720"/>
        <w:jc w:val="both"/>
        <w:rPr>
          <w:rFonts w:ascii="Times New Roman" w:hAnsi="Times New Roman" w:cs="Times New Roman"/>
        </w:rPr>
      </w:pPr>
      <w:r w:rsidRPr="00EC5BCE">
        <w:rPr>
          <w:rFonts w:ascii="Times New Roman" w:hAnsi="Times New Roman" w:cs="Times New Roman"/>
        </w:rPr>
        <w:t>(h) Real estate investment</w:t>
      </w:r>
    </w:p>
    <w:p w:rsidR="00C73E95" w:rsidRPr="00EC5BCE" w:rsidRDefault="00C73E95" w:rsidP="00C73E95">
      <w:pPr>
        <w:spacing w:after="0" w:line="240" w:lineRule="auto"/>
        <w:ind w:left="720" w:firstLine="720"/>
        <w:jc w:val="both"/>
        <w:rPr>
          <w:rFonts w:ascii="Times New Roman" w:hAnsi="Times New Roman" w:cs="Times New Roman"/>
        </w:rPr>
      </w:pPr>
      <w:r w:rsidRPr="00EC5BCE">
        <w:rPr>
          <w:rFonts w:ascii="Times New Roman" w:hAnsi="Times New Roman" w:cs="Times New Roman"/>
        </w:rPr>
        <w:t>( i) Other investments prescribed by the pension commission.</w:t>
      </w:r>
    </w:p>
    <w:p w:rsidR="00C73E95" w:rsidRPr="00F407C4" w:rsidRDefault="00C73E95" w:rsidP="00C73E95">
      <w:pPr>
        <w:spacing w:after="0" w:line="240" w:lineRule="auto"/>
        <w:ind w:left="720" w:firstLine="720"/>
        <w:jc w:val="both"/>
        <w:rPr>
          <w:rFonts w:ascii="Times New Roman" w:hAnsi="Times New Roman" w:cs="Times New Roman"/>
          <w:sz w:val="24"/>
          <w:szCs w:val="24"/>
        </w:rPr>
      </w:pPr>
      <w:r w:rsidRPr="00F407C4">
        <w:rPr>
          <w:rFonts w:ascii="Times New Roman" w:hAnsi="Times New Roman" w:cs="Times New Roman"/>
          <w:sz w:val="24"/>
          <w:szCs w:val="24"/>
        </w:rPr>
        <w:t xml:space="preserve"> </w:t>
      </w:r>
    </w:p>
    <w:p w:rsidR="00C73E95" w:rsidRDefault="00C73E95"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Section 87 further provides that PFA may invest the pension funds in units of any investment outside Nigeria within the categories of investment set out in Section 86</w:t>
      </w:r>
      <w:r>
        <w:rPr>
          <w:rFonts w:ascii="Times New Roman" w:hAnsi="Times New Roman" w:cs="Times New Roman"/>
          <w:sz w:val="24"/>
          <w:szCs w:val="24"/>
        </w:rPr>
        <w:t xml:space="preserve">. </w:t>
      </w:r>
      <w:r w:rsidRPr="00F407C4">
        <w:rPr>
          <w:rFonts w:ascii="Times New Roman" w:hAnsi="Times New Roman" w:cs="Times New Roman"/>
          <w:sz w:val="24"/>
          <w:szCs w:val="24"/>
        </w:rPr>
        <w:t>However, the PFA shall not invest pension fund or asset in shares or other securities issued by</w:t>
      </w:r>
      <w:r w:rsidRPr="00F407C4">
        <w:rPr>
          <w:rStyle w:val="FootnoteReference"/>
          <w:rFonts w:ascii="Times New Roman" w:hAnsi="Times New Roman" w:cs="Times New Roman"/>
          <w:sz w:val="24"/>
          <w:szCs w:val="24"/>
        </w:rPr>
        <w:footnoteReference w:id="6"/>
      </w:r>
      <w:r w:rsidR="00EC5BCE">
        <w:rPr>
          <w:rFonts w:ascii="Times New Roman" w:hAnsi="Times New Roman" w:cs="Times New Roman"/>
          <w:sz w:val="24"/>
          <w:szCs w:val="24"/>
        </w:rPr>
        <w:t xml:space="preserve"> </w:t>
      </w:r>
      <w:r w:rsidRPr="00EC5BCE">
        <w:rPr>
          <w:rFonts w:ascii="Times New Roman" w:hAnsi="Times New Roman" w:cs="Times New Roman"/>
          <w:sz w:val="24"/>
          <w:szCs w:val="24"/>
        </w:rPr>
        <w:t>the PFA or PFC</w:t>
      </w:r>
      <w:r w:rsidR="00EC5BCE">
        <w:rPr>
          <w:rFonts w:ascii="Times New Roman" w:hAnsi="Times New Roman" w:cs="Times New Roman"/>
          <w:sz w:val="24"/>
          <w:szCs w:val="24"/>
        </w:rPr>
        <w:t xml:space="preserve">, </w:t>
      </w:r>
      <w:r w:rsidRPr="00EC5BCE">
        <w:rPr>
          <w:rFonts w:ascii="Times New Roman" w:hAnsi="Times New Roman" w:cs="Times New Roman"/>
          <w:sz w:val="24"/>
          <w:szCs w:val="24"/>
        </w:rPr>
        <w:t>a shareholder of PFA or PFC</w:t>
      </w:r>
      <w:r w:rsidR="00EC5BCE">
        <w:rPr>
          <w:rFonts w:ascii="Times New Roman" w:hAnsi="Times New Roman" w:cs="Times New Roman"/>
          <w:sz w:val="24"/>
          <w:szCs w:val="24"/>
        </w:rPr>
        <w:t xml:space="preserve">. </w:t>
      </w:r>
      <w:r w:rsidRPr="00F407C4">
        <w:rPr>
          <w:rFonts w:ascii="Times New Roman" w:hAnsi="Times New Roman" w:cs="Times New Roman"/>
          <w:sz w:val="24"/>
          <w:szCs w:val="24"/>
        </w:rPr>
        <w:t>Also, the Act further provides</w:t>
      </w:r>
      <w:r w:rsidRPr="00F407C4">
        <w:rPr>
          <w:rStyle w:val="FootnoteReference"/>
          <w:rFonts w:ascii="Times New Roman" w:hAnsi="Times New Roman" w:cs="Times New Roman"/>
          <w:sz w:val="24"/>
          <w:szCs w:val="24"/>
        </w:rPr>
        <w:footnoteReference w:id="7"/>
      </w:r>
      <w:r w:rsidRPr="00F407C4">
        <w:rPr>
          <w:rFonts w:ascii="Times New Roman" w:hAnsi="Times New Roman" w:cs="Times New Roman"/>
          <w:sz w:val="24"/>
          <w:szCs w:val="24"/>
        </w:rPr>
        <w:t xml:space="preserve"> that PFA shall not</w:t>
      </w:r>
      <w:r w:rsidR="00EC5BCE">
        <w:rPr>
          <w:rFonts w:ascii="Times New Roman" w:hAnsi="Times New Roman" w:cs="Times New Roman"/>
          <w:sz w:val="24"/>
          <w:szCs w:val="24"/>
        </w:rPr>
        <w:t xml:space="preserve"> sell</w:t>
      </w:r>
      <w:r w:rsidRPr="00F407C4">
        <w:rPr>
          <w:rFonts w:ascii="Times New Roman" w:hAnsi="Times New Roman" w:cs="Times New Roman"/>
          <w:sz w:val="24"/>
          <w:szCs w:val="24"/>
        </w:rPr>
        <w:t xml:space="preserve"> pension fund assets to</w:t>
      </w:r>
      <w:r w:rsidR="00EC5BCE">
        <w:rPr>
          <w:rFonts w:ascii="Times New Roman" w:hAnsi="Times New Roman" w:cs="Times New Roman"/>
          <w:sz w:val="24"/>
          <w:szCs w:val="24"/>
        </w:rPr>
        <w:t xml:space="preserve"> </w:t>
      </w:r>
      <w:r w:rsidRPr="00F407C4">
        <w:rPr>
          <w:rFonts w:ascii="Times New Roman" w:hAnsi="Times New Roman" w:cs="Times New Roman"/>
          <w:sz w:val="24"/>
          <w:szCs w:val="24"/>
        </w:rPr>
        <w:t>itself</w:t>
      </w:r>
      <w:r w:rsidR="00EC5BCE">
        <w:rPr>
          <w:rFonts w:ascii="Times New Roman" w:hAnsi="Times New Roman" w:cs="Times New Roman"/>
          <w:sz w:val="24"/>
          <w:szCs w:val="24"/>
        </w:rPr>
        <w:t>, a</w:t>
      </w:r>
      <w:r w:rsidRPr="00F407C4">
        <w:rPr>
          <w:rFonts w:ascii="Times New Roman" w:hAnsi="Times New Roman" w:cs="Times New Roman"/>
          <w:sz w:val="24"/>
          <w:szCs w:val="24"/>
        </w:rPr>
        <w:t>ny shareholder, director, affiliate, subsidiary, associate, related party or</w:t>
      </w:r>
      <w:r w:rsidR="00EC5BCE">
        <w:rPr>
          <w:rFonts w:ascii="Times New Roman" w:hAnsi="Times New Roman" w:cs="Times New Roman"/>
          <w:sz w:val="24"/>
          <w:szCs w:val="24"/>
        </w:rPr>
        <w:t xml:space="preserve"> </w:t>
      </w:r>
      <w:r w:rsidRPr="00F407C4">
        <w:rPr>
          <w:rFonts w:ascii="Times New Roman" w:hAnsi="Times New Roman" w:cs="Times New Roman"/>
          <w:sz w:val="24"/>
          <w:szCs w:val="24"/>
        </w:rPr>
        <w:t>company of the PFA</w:t>
      </w:r>
      <w:r w:rsidR="00EC5BCE">
        <w:rPr>
          <w:rFonts w:ascii="Times New Roman" w:hAnsi="Times New Roman" w:cs="Times New Roman"/>
          <w:sz w:val="24"/>
          <w:szCs w:val="24"/>
        </w:rPr>
        <w:t>, a</w:t>
      </w:r>
      <w:r w:rsidRPr="00F407C4">
        <w:rPr>
          <w:rFonts w:ascii="Times New Roman" w:hAnsi="Times New Roman" w:cs="Times New Roman"/>
          <w:sz w:val="24"/>
          <w:szCs w:val="24"/>
        </w:rPr>
        <w:t>ny employee of the PFA</w:t>
      </w:r>
      <w:r w:rsidR="00EC5BCE">
        <w:rPr>
          <w:rFonts w:ascii="Times New Roman" w:hAnsi="Times New Roman" w:cs="Times New Roman"/>
          <w:sz w:val="24"/>
          <w:szCs w:val="24"/>
        </w:rPr>
        <w:t>, t</w:t>
      </w:r>
      <w:r w:rsidRPr="00F407C4">
        <w:rPr>
          <w:rFonts w:ascii="Times New Roman" w:hAnsi="Times New Roman" w:cs="Times New Roman"/>
          <w:sz w:val="24"/>
          <w:szCs w:val="24"/>
        </w:rPr>
        <w:t>he spouse of any of the persons mentioned above</w:t>
      </w:r>
      <w:r w:rsidR="00EC5BCE">
        <w:rPr>
          <w:rFonts w:ascii="Times New Roman" w:hAnsi="Times New Roman" w:cs="Times New Roman"/>
          <w:sz w:val="24"/>
          <w:szCs w:val="24"/>
        </w:rPr>
        <w:t>,</w:t>
      </w:r>
      <w:r w:rsidRPr="00F407C4">
        <w:rPr>
          <w:rFonts w:ascii="Times New Roman" w:hAnsi="Times New Roman" w:cs="Times New Roman"/>
          <w:sz w:val="24"/>
          <w:szCs w:val="24"/>
        </w:rPr>
        <w:t xml:space="preserve"> affiliates of any shareholder of the PFA or</w:t>
      </w:r>
      <w:r w:rsidR="00EC5BCE">
        <w:rPr>
          <w:rFonts w:ascii="Times New Roman" w:hAnsi="Times New Roman" w:cs="Times New Roman"/>
          <w:sz w:val="24"/>
          <w:szCs w:val="24"/>
        </w:rPr>
        <w:t>, t</w:t>
      </w:r>
      <w:r w:rsidRPr="00F407C4">
        <w:rPr>
          <w:rFonts w:ascii="Times New Roman" w:hAnsi="Times New Roman" w:cs="Times New Roman"/>
          <w:sz w:val="24"/>
          <w:szCs w:val="24"/>
        </w:rPr>
        <w:t>he PFC holding pension fund asset to the orde</w:t>
      </w:r>
      <w:r w:rsidR="00EC5BCE">
        <w:rPr>
          <w:rFonts w:ascii="Times New Roman" w:hAnsi="Times New Roman" w:cs="Times New Roman"/>
          <w:sz w:val="24"/>
          <w:szCs w:val="24"/>
        </w:rPr>
        <w:t xml:space="preserve">r of the PFA and any related </w:t>
      </w:r>
      <w:r w:rsidRPr="00F407C4">
        <w:rPr>
          <w:rFonts w:ascii="Times New Roman" w:hAnsi="Times New Roman" w:cs="Times New Roman"/>
          <w:sz w:val="24"/>
          <w:szCs w:val="24"/>
        </w:rPr>
        <w:t>party to the PFC</w:t>
      </w:r>
      <w:r w:rsidR="00EC5BCE">
        <w:rPr>
          <w:rFonts w:ascii="Times New Roman" w:hAnsi="Times New Roman" w:cs="Times New Roman"/>
          <w:sz w:val="24"/>
          <w:szCs w:val="24"/>
        </w:rPr>
        <w:t xml:space="preserve">, </w:t>
      </w:r>
      <w:r w:rsidRPr="00F407C4">
        <w:rPr>
          <w:rFonts w:ascii="Times New Roman" w:hAnsi="Times New Roman" w:cs="Times New Roman"/>
          <w:sz w:val="24"/>
          <w:szCs w:val="24"/>
        </w:rPr>
        <w:t>utilize pension fund to purchase assets from the persons mentioned in subsection (a) of this section and apply pension fund assets under its management by way of loans and credits or as collateral for any loan taken by a holder of retirements savings account or any person whatsoever.</w:t>
      </w:r>
    </w:p>
    <w:p w:rsidR="007D5ECF" w:rsidRPr="00F407C4" w:rsidRDefault="00662573" w:rsidP="007D5ECF">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7D5ECF" w:rsidRPr="00F407C4">
        <w:rPr>
          <w:rFonts w:ascii="Times New Roman" w:hAnsi="Times New Roman" w:cs="Times New Roman"/>
          <w:b/>
          <w:sz w:val="24"/>
          <w:szCs w:val="24"/>
        </w:rPr>
        <w:t xml:space="preserve">. </w:t>
      </w:r>
      <w:r w:rsidR="008377D2">
        <w:rPr>
          <w:rFonts w:ascii="Times New Roman" w:hAnsi="Times New Roman" w:cs="Times New Roman"/>
          <w:b/>
          <w:sz w:val="24"/>
          <w:szCs w:val="24"/>
        </w:rPr>
        <w:t>Islamic Law Perspective on</w:t>
      </w:r>
      <w:r w:rsidR="007D5ECF">
        <w:rPr>
          <w:rFonts w:ascii="Times New Roman" w:hAnsi="Times New Roman" w:cs="Times New Roman"/>
          <w:b/>
          <w:sz w:val="24"/>
          <w:szCs w:val="24"/>
        </w:rPr>
        <w:t xml:space="preserve"> </w:t>
      </w:r>
      <w:r w:rsidR="007D5ECF" w:rsidRPr="00F407C4">
        <w:rPr>
          <w:rFonts w:ascii="Times New Roman" w:hAnsi="Times New Roman" w:cs="Times New Roman"/>
          <w:b/>
          <w:sz w:val="24"/>
          <w:szCs w:val="24"/>
        </w:rPr>
        <w:t xml:space="preserve">Pension Funds </w:t>
      </w:r>
    </w:p>
    <w:p w:rsidR="007D5ECF" w:rsidRPr="00F407C4" w:rsidRDefault="007D5ECF" w:rsidP="007D5ECF">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lastRenderedPageBreak/>
        <w:t xml:space="preserve">Pension funds are the funds pooled together through periodic </w:t>
      </w:r>
      <w:r w:rsidR="00AD5321">
        <w:rPr>
          <w:rFonts w:ascii="Times New Roman" w:hAnsi="Times New Roman" w:cs="Times New Roman"/>
          <w:sz w:val="24"/>
          <w:szCs w:val="24"/>
        </w:rPr>
        <w:t xml:space="preserve">and continuous contributions by </w:t>
      </w:r>
      <w:r w:rsidRPr="00F407C4">
        <w:rPr>
          <w:rFonts w:ascii="Times New Roman" w:hAnsi="Times New Roman" w:cs="Times New Roman"/>
          <w:sz w:val="24"/>
          <w:szCs w:val="24"/>
        </w:rPr>
        <w:t>the contributors i.e. employees into their respective pension accounts.</w:t>
      </w:r>
      <w:r w:rsidRPr="00F407C4">
        <w:rPr>
          <w:rStyle w:val="FootnoteReference"/>
          <w:rFonts w:ascii="Times New Roman" w:hAnsi="Times New Roman" w:cs="Times New Roman"/>
          <w:sz w:val="24"/>
          <w:szCs w:val="24"/>
        </w:rPr>
        <w:footnoteReference w:id="8"/>
      </w:r>
      <w:r w:rsidRPr="00F407C4">
        <w:rPr>
          <w:rFonts w:ascii="Times New Roman" w:hAnsi="Times New Roman" w:cs="Times New Roman"/>
          <w:sz w:val="24"/>
          <w:szCs w:val="24"/>
        </w:rPr>
        <w:t xml:space="preserve"> The accumulation of all monies contributed by the employees within a given period of time is called pension funds. The law imposes on the custodians of the funds to manage them judiciously on behalf of the contributors.</w:t>
      </w:r>
      <w:r w:rsidRPr="00F407C4">
        <w:rPr>
          <w:rStyle w:val="FootnoteReference"/>
          <w:rFonts w:ascii="Times New Roman" w:hAnsi="Times New Roman" w:cs="Times New Roman"/>
          <w:sz w:val="24"/>
          <w:szCs w:val="24"/>
        </w:rPr>
        <w:footnoteReference w:id="9"/>
      </w:r>
      <w:r w:rsidRPr="00F407C4">
        <w:rPr>
          <w:rFonts w:ascii="Times New Roman" w:hAnsi="Times New Roman" w:cs="Times New Roman"/>
          <w:sz w:val="24"/>
          <w:szCs w:val="24"/>
        </w:rPr>
        <w:t xml:space="preserve"> This includes investing with the funds while profits made after a particular business adventure are distributed to the employees on pro rata. It is noted that the essence of pooling the funds is to cater for the individual employees when they retire from active service. The position of Islamic law on pension fund is sanctioned under the need to work towards attainment of objective of Shari’ah in terms of protection of life and property.</w:t>
      </w:r>
      <w:r w:rsidRPr="00F407C4">
        <w:rPr>
          <w:rStyle w:val="FootnoteReference"/>
          <w:rFonts w:ascii="Times New Roman" w:hAnsi="Times New Roman" w:cs="Times New Roman"/>
          <w:sz w:val="24"/>
          <w:szCs w:val="24"/>
        </w:rPr>
        <w:footnoteReference w:id="10"/>
      </w:r>
      <w:r w:rsidRPr="00F407C4">
        <w:rPr>
          <w:rFonts w:ascii="Times New Roman" w:hAnsi="Times New Roman" w:cs="Times New Roman"/>
          <w:sz w:val="24"/>
          <w:szCs w:val="24"/>
        </w:rPr>
        <w:t xml:space="preserve"> Shari’ah abhors wasteful spending and advocates judicious savings and prudent spending.</w:t>
      </w:r>
    </w:p>
    <w:p w:rsidR="007D5ECF" w:rsidRPr="00F407C4" w:rsidRDefault="007D5ECF" w:rsidP="007D5ECF">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The idea of subjecting pension funds to investment enjoys nod under Islamic law. Islamic law sanctions responsible investments and businesses but forbids </w:t>
      </w:r>
      <w:r w:rsidRPr="00F407C4">
        <w:rPr>
          <w:rFonts w:ascii="Times New Roman" w:hAnsi="Times New Roman" w:cs="Times New Roman"/>
          <w:i/>
          <w:sz w:val="24"/>
          <w:szCs w:val="24"/>
        </w:rPr>
        <w:t>riba</w:t>
      </w:r>
      <w:r w:rsidRPr="00F407C4">
        <w:rPr>
          <w:rFonts w:ascii="Times New Roman" w:hAnsi="Times New Roman" w:cs="Times New Roman"/>
          <w:sz w:val="24"/>
          <w:szCs w:val="24"/>
        </w:rPr>
        <w:t xml:space="preserve"> (usury). Shari’ah ordains that in the event of investment with pension funds, Islamic principles of investment must be observed. Hence, prohibited elements such as</w:t>
      </w:r>
      <w:r w:rsidRPr="00F407C4">
        <w:rPr>
          <w:rFonts w:ascii="Times New Roman" w:hAnsi="Times New Roman" w:cs="Times New Roman"/>
          <w:i/>
          <w:sz w:val="24"/>
          <w:szCs w:val="24"/>
        </w:rPr>
        <w:t xml:space="preserve"> riba, gharar, maisir</w:t>
      </w:r>
      <w:r w:rsidRPr="00F407C4">
        <w:rPr>
          <w:rFonts w:ascii="Times New Roman" w:hAnsi="Times New Roman" w:cs="Times New Roman"/>
          <w:sz w:val="24"/>
          <w:szCs w:val="24"/>
        </w:rPr>
        <w:t xml:space="preserve"> etc are to be avoided completely.</w:t>
      </w:r>
    </w:p>
    <w:p w:rsidR="007D5ECF" w:rsidRPr="00F407C4" w:rsidRDefault="007D5ECF" w:rsidP="007D5ECF">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The pension administrators are perceived as the trustees under Shari’ah and should observe all the requisite rules of Amana (Trust) within the tenet of Shari’ah.</w:t>
      </w:r>
      <w:r w:rsidRPr="00F407C4">
        <w:rPr>
          <w:rStyle w:val="FootnoteReference"/>
          <w:rFonts w:ascii="Times New Roman" w:hAnsi="Times New Roman" w:cs="Times New Roman"/>
          <w:sz w:val="24"/>
          <w:szCs w:val="24"/>
        </w:rPr>
        <w:footnoteReference w:id="11"/>
      </w:r>
      <w:r w:rsidRPr="00F407C4">
        <w:rPr>
          <w:rFonts w:ascii="Times New Roman" w:hAnsi="Times New Roman" w:cs="Times New Roman"/>
          <w:sz w:val="24"/>
          <w:szCs w:val="24"/>
        </w:rPr>
        <w:t xml:space="preserve"> It is thus expected that funds which are considered as the wealth of the contributors should be given to them on the due date without any delay. This is deducible from the admonition of the Prophet (PBUH) that payment of wages to labourers should be done before their sweat dry off.</w:t>
      </w:r>
    </w:p>
    <w:p w:rsidR="007D5ECF" w:rsidRPr="00F407C4" w:rsidRDefault="007D5ECF" w:rsidP="007D5ECF">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Islamic law perceives pension fund as wealth that must be seriously guarded from being tainted with forbidden elements. Thus, pension funds of Muslims must be free from unlawful utilization or investments as laid down in the Qur’an and Sunnah.</w:t>
      </w:r>
    </w:p>
    <w:p w:rsidR="00716884" w:rsidRPr="00F407C4" w:rsidRDefault="00662573" w:rsidP="00F407C4">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6B6DCF">
        <w:rPr>
          <w:rFonts w:ascii="Times New Roman" w:hAnsi="Times New Roman" w:cs="Times New Roman"/>
          <w:b/>
          <w:sz w:val="24"/>
          <w:szCs w:val="24"/>
        </w:rPr>
        <w:t xml:space="preserve">. </w:t>
      </w:r>
      <w:r w:rsidR="00716884" w:rsidRPr="00F407C4">
        <w:rPr>
          <w:rFonts w:ascii="Times New Roman" w:hAnsi="Times New Roman" w:cs="Times New Roman"/>
          <w:b/>
          <w:sz w:val="24"/>
          <w:szCs w:val="24"/>
        </w:rPr>
        <w:t>Islamic law view on the Nigerian New Contributory Pension Scheme</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lastRenderedPageBreak/>
        <w:t>In the quest to cater for the life after service years of Nigerian workers both in the private and public sector, the Nigerian government through the instrumentality of law came up with the idea of contributory pension scheme.</w:t>
      </w:r>
      <w:r w:rsidRPr="00F407C4">
        <w:rPr>
          <w:rStyle w:val="FootnoteReference"/>
          <w:rFonts w:ascii="Times New Roman" w:hAnsi="Times New Roman" w:cs="Times New Roman"/>
          <w:sz w:val="24"/>
          <w:szCs w:val="24"/>
        </w:rPr>
        <w:footnoteReference w:id="12"/>
      </w:r>
      <w:r w:rsidRPr="00F407C4">
        <w:rPr>
          <w:rFonts w:ascii="Times New Roman" w:hAnsi="Times New Roman" w:cs="Times New Roman"/>
          <w:sz w:val="24"/>
          <w:szCs w:val="24"/>
        </w:rPr>
        <w:t xml:space="preserve"> The scheme is implemented during the active service of the employees preparatory for a sustainable after service period.</w:t>
      </w:r>
      <w:r w:rsidRPr="00F407C4">
        <w:rPr>
          <w:rStyle w:val="FootnoteReference"/>
          <w:rFonts w:ascii="Times New Roman" w:hAnsi="Times New Roman" w:cs="Times New Roman"/>
          <w:sz w:val="24"/>
          <w:szCs w:val="24"/>
        </w:rPr>
        <w:footnoteReference w:id="13"/>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This thesis examines the Islamic law view of the whole scheme as designed and practised in Nigeria. Before looking at the scheme from Islamic law perspective, it is expedient to briefly examine the new Nigerian contributory pension scheme. The new scheme is governed by the pension reform Act of 2014 which replaces the erstwhile 2004 Pension Reform Act. The objective of the new scheme remains strong and passionate consciousness of the life after active service years by the employees and the need to have a sustainable after service years for them.</w:t>
      </w:r>
      <w:r w:rsidRPr="00F407C4">
        <w:rPr>
          <w:rStyle w:val="FootnoteReference"/>
          <w:rFonts w:ascii="Times New Roman" w:hAnsi="Times New Roman" w:cs="Times New Roman"/>
          <w:sz w:val="24"/>
          <w:szCs w:val="24"/>
        </w:rPr>
        <w:footnoteReference w:id="14"/>
      </w:r>
      <w:r w:rsidRPr="00F407C4">
        <w:rPr>
          <w:rFonts w:ascii="Times New Roman" w:hAnsi="Times New Roman" w:cs="Times New Roman"/>
          <w:sz w:val="24"/>
          <w:szCs w:val="24"/>
        </w:rPr>
        <w:t xml:space="preserve"> Thus, the 2014 Pension Reform Act is applicable to both the private and public sector.</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Within the context of the contributory pension scheme, pension is conceptualized as the monthly contribution in form of savings by both the employees and employers into a pension account held by employee which is accessible at a later period. The idea behind the so called pension scheme is to inculcate the spirit of savings for the future i.e. till maturity or retirement age.</w:t>
      </w:r>
      <w:r w:rsidRPr="00F407C4">
        <w:rPr>
          <w:rStyle w:val="FootnoteReference"/>
          <w:rFonts w:ascii="Times New Roman" w:hAnsi="Times New Roman" w:cs="Times New Roman"/>
          <w:sz w:val="24"/>
          <w:szCs w:val="24"/>
        </w:rPr>
        <w:footnoteReference w:id="15"/>
      </w:r>
      <w:r w:rsidRPr="00F407C4">
        <w:rPr>
          <w:rFonts w:ascii="Times New Roman" w:hAnsi="Times New Roman" w:cs="Times New Roman"/>
          <w:sz w:val="24"/>
          <w:szCs w:val="24"/>
        </w:rPr>
        <w:t xml:space="preserve"> As far as the pension Reform Act, 2014 is concerned, there is no uniformity in the retirement age. The reason being that special </w:t>
      </w:r>
      <w:r w:rsidR="00EC5BCE" w:rsidRPr="00F407C4">
        <w:rPr>
          <w:rFonts w:ascii="Times New Roman" w:hAnsi="Times New Roman" w:cs="Times New Roman"/>
          <w:sz w:val="24"/>
          <w:szCs w:val="24"/>
        </w:rPr>
        <w:t>category of workers enjoys</w:t>
      </w:r>
      <w:r w:rsidRPr="00F407C4">
        <w:rPr>
          <w:rFonts w:ascii="Times New Roman" w:hAnsi="Times New Roman" w:cs="Times New Roman"/>
          <w:sz w:val="24"/>
          <w:szCs w:val="24"/>
        </w:rPr>
        <w:t xml:space="preserve"> longer years in service. A case in point is that of university professors who retire at the age of 70 years while other workers are not professors retire at the age of 65.</w:t>
      </w:r>
      <w:r w:rsidRPr="00F407C4">
        <w:rPr>
          <w:rStyle w:val="FootnoteReference"/>
          <w:rFonts w:ascii="Times New Roman" w:hAnsi="Times New Roman" w:cs="Times New Roman"/>
          <w:sz w:val="24"/>
          <w:szCs w:val="24"/>
        </w:rPr>
        <w:footnoteReference w:id="16"/>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It is important to note that the new Nigerian contributory pension scheme imposes mandatory participations on employees at the public sector with the exception of the military men and security agencies. The participation in the scheme is mandatory such that the law prescribes institution of criminal proceedings with grave consequences against any defaulting employers who failed to maintain periodic/monthly remittance.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lastRenderedPageBreak/>
        <w:t>In the same vein, the law empowers the pension administrators to properly manage the pool of funds realized from the various and recurrent contributions by the employees and employers. Management of the funds includes investing them in profitable ventures that yield certain returns on investment in favour of the contributors. To therefore guide against mismanagement of the pension funds, the law prescribes ten (10) years imprisonment for any pension administrator who is guilty of funds’ mismanagement.</w:t>
      </w:r>
      <w:r w:rsidRPr="00F407C4">
        <w:rPr>
          <w:rStyle w:val="FootnoteReference"/>
          <w:rFonts w:ascii="Times New Roman" w:hAnsi="Times New Roman" w:cs="Times New Roman"/>
          <w:sz w:val="24"/>
          <w:szCs w:val="24"/>
        </w:rPr>
        <w:footnoteReference w:id="17"/>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The stakeholders and the participants in the contributory scheme inevitably include Muslims while the new Nigerian contributory pension scheme vide Pension Reform Act, 2014 was designed outside the contemplation of the Islamic law perspective. Hence, it is imperative to examine the Islamic law view on the new contributory pension scheme.</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Islamic law is a divine law governed by the precepts laid down in the primary sources of Shari’ah. However, it is noteworthy that the notion of pension scheme is not alien to Islamic jurisprudence. It was a popular scheme adopted to support the poor, needy, aged and disabled Muslims since the time of the predecessors.</w:t>
      </w:r>
      <w:r w:rsidRPr="00F407C4">
        <w:rPr>
          <w:rStyle w:val="FootnoteReference"/>
          <w:rFonts w:ascii="Times New Roman" w:hAnsi="Times New Roman" w:cs="Times New Roman"/>
          <w:sz w:val="24"/>
          <w:szCs w:val="24"/>
        </w:rPr>
        <w:footnoteReference w:id="18"/>
      </w:r>
      <w:r w:rsidRPr="00F407C4">
        <w:rPr>
          <w:rFonts w:ascii="Times New Roman" w:hAnsi="Times New Roman" w:cs="Times New Roman"/>
          <w:sz w:val="24"/>
          <w:szCs w:val="24"/>
        </w:rPr>
        <w:t xml:space="preserve"> This was actualized through the instrumentality of</w:t>
      </w:r>
      <w:r w:rsidRPr="00F407C4">
        <w:rPr>
          <w:rFonts w:ascii="Times New Roman" w:hAnsi="Times New Roman" w:cs="Times New Roman"/>
          <w:i/>
          <w:sz w:val="24"/>
          <w:szCs w:val="24"/>
        </w:rPr>
        <w:t xml:space="preserve"> Baytul Mal, Waqf </w:t>
      </w:r>
      <w:r w:rsidRPr="00F407C4">
        <w:rPr>
          <w:rFonts w:ascii="Times New Roman" w:hAnsi="Times New Roman" w:cs="Times New Roman"/>
          <w:sz w:val="24"/>
          <w:szCs w:val="24"/>
        </w:rPr>
        <w:t xml:space="preserve">and other Islamic social schemes. The earliest Muslims were key into the practice of pension scheme because it sought to achieve the </w:t>
      </w:r>
      <w:r w:rsidRPr="00F407C4">
        <w:rPr>
          <w:rFonts w:ascii="Times New Roman" w:hAnsi="Times New Roman" w:cs="Times New Roman"/>
          <w:i/>
          <w:sz w:val="24"/>
          <w:szCs w:val="24"/>
        </w:rPr>
        <w:t>Maqasaid Shari’ah</w:t>
      </w:r>
      <w:r w:rsidRPr="00F407C4">
        <w:rPr>
          <w:rFonts w:ascii="Times New Roman" w:hAnsi="Times New Roman" w:cs="Times New Roman"/>
          <w:sz w:val="24"/>
          <w:szCs w:val="24"/>
        </w:rPr>
        <w:t xml:space="preserve">, which specifically centers on protection of life and wealth. Islamic law usually screens sources of wealth, income earnings and accumulated wealth by Muslims. Importantly, it gives zero-tolerance to </w:t>
      </w:r>
      <w:r w:rsidRPr="00F407C4">
        <w:rPr>
          <w:rFonts w:ascii="Times New Roman" w:hAnsi="Times New Roman" w:cs="Times New Roman"/>
          <w:i/>
          <w:sz w:val="24"/>
          <w:szCs w:val="24"/>
        </w:rPr>
        <w:t>riba</w:t>
      </w:r>
      <w:r w:rsidRPr="00F407C4">
        <w:rPr>
          <w:rFonts w:ascii="Times New Roman" w:hAnsi="Times New Roman" w:cs="Times New Roman"/>
          <w:sz w:val="24"/>
          <w:szCs w:val="24"/>
        </w:rPr>
        <w:t xml:space="preserve"> of any guise and disapproves business ventures with forbidden contents.</w:t>
      </w:r>
      <w:r w:rsidRPr="00F407C4">
        <w:rPr>
          <w:rStyle w:val="FootnoteReference"/>
          <w:rFonts w:ascii="Times New Roman" w:hAnsi="Times New Roman" w:cs="Times New Roman"/>
          <w:sz w:val="24"/>
          <w:szCs w:val="24"/>
        </w:rPr>
        <w:footnoteReference w:id="19"/>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However, the new Nigerian contributory pension scheme empowers the various pension administrators to properly manage the pension funds including investments in profitable ventures to yield returns on investment usually credited to the various account held by the contributing employees.</w:t>
      </w:r>
      <w:r w:rsidRPr="00F407C4">
        <w:rPr>
          <w:rStyle w:val="FootnoteReference"/>
          <w:rFonts w:ascii="Times New Roman" w:hAnsi="Times New Roman" w:cs="Times New Roman"/>
          <w:sz w:val="24"/>
          <w:szCs w:val="24"/>
        </w:rPr>
        <w:footnoteReference w:id="20"/>
      </w:r>
      <w:r w:rsidRPr="00F407C4">
        <w:rPr>
          <w:rFonts w:ascii="Times New Roman" w:hAnsi="Times New Roman" w:cs="Times New Roman"/>
          <w:sz w:val="24"/>
          <w:szCs w:val="24"/>
        </w:rPr>
        <w:t xml:space="preserve"> This is where Islamic law issue comes to play. Within the context of the new contributory pension scheme, the pension administrators usually utilize the pension funds in riba-based transaction and other forbidden business outlet under the guise investment against the Islamic principle of profit and loss sharing. The Muslim contributors are not aware of the </w:t>
      </w:r>
      <w:r w:rsidRPr="00F407C4">
        <w:rPr>
          <w:rFonts w:ascii="Times New Roman" w:hAnsi="Times New Roman" w:cs="Times New Roman"/>
          <w:sz w:val="24"/>
          <w:szCs w:val="24"/>
        </w:rPr>
        <w:lastRenderedPageBreak/>
        <w:t>quantum of profits made by their pension administrators let alone querying the amounts credited to their respective pension accounts. All they see in their savings is an increment in their accounts in forms of profits or returns on investments.</w:t>
      </w:r>
      <w:r w:rsidRPr="00F407C4">
        <w:rPr>
          <w:rStyle w:val="FootnoteReference"/>
          <w:rFonts w:ascii="Times New Roman" w:hAnsi="Times New Roman" w:cs="Times New Roman"/>
          <w:sz w:val="24"/>
          <w:szCs w:val="24"/>
        </w:rPr>
        <w:footnoteReference w:id="21"/>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The foregoing practice violates Islamic law principles of responsible investment and zero-tolerance for </w:t>
      </w:r>
      <w:r w:rsidRPr="00F407C4">
        <w:rPr>
          <w:rFonts w:ascii="Times New Roman" w:hAnsi="Times New Roman" w:cs="Times New Roman"/>
          <w:i/>
          <w:sz w:val="24"/>
          <w:szCs w:val="24"/>
        </w:rPr>
        <w:t>riba</w:t>
      </w:r>
      <w:r w:rsidRPr="00F407C4">
        <w:rPr>
          <w:rFonts w:ascii="Times New Roman" w:hAnsi="Times New Roman" w:cs="Times New Roman"/>
          <w:sz w:val="24"/>
          <w:szCs w:val="24"/>
        </w:rPr>
        <w:t>-based transactions.</w:t>
      </w:r>
      <w:r w:rsidRPr="00F407C4">
        <w:rPr>
          <w:rStyle w:val="FootnoteReference"/>
          <w:rFonts w:ascii="Times New Roman" w:hAnsi="Times New Roman" w:cs="Times New Roman"/>
          <w:sz w:val="24"/>
          <w:szCs w:val="24"/>
        </w:rPr>
        <w:footnoteReference w:id="22"/>
      </w:r>
      <w:r w:rsidRPr="00F407C4">
        <w:rPr>
          <w:rFonts w:ascii="Times New Roman" w:hAnsi="Times New Roman" w:cs="Times New Roman"/>
          <w:sz w:val="24"/>
          <w:szCs w:val="24"/>
        </w:rPr>
        <w:t xml:space="preserve"> In the same vein, the Islamic principles of transparency, accountability, fair dealings, disclosure and justice are violated by the way and manner the funds are being managed by the various pension administrators the reason for the foregoing is not far-fetched.</w:t>
      </w:r>
      <w:r w:rsidRPr="00F407C4">
        <w:rPr>
          <w:rStyle w:val="FootnoteReference"/>
          <w:rFonts w:ascii="Times New Roman" w:hAnsi="Times New Roman" w:cs="Times New Roman"/>
          <w:sz w:val="24"/>
          <w:szCs w:val="24"/>
        </w:rPr>
        <w:footnoteReference w:id="23"/>
      </w:r>
      <w:r w:rsidRPr="00F407C4">
        <w:rPr>
          <w:rFonts w:ascii="Times New Roman" w:hAnsi="Times New Roman" w:cs="Times New Roman"/>
          <w:sz w:val="24"/>
          <w:szCs w:val="24"/>
        </w:rPr>
        <w:t xml:space="preserve"> It is because the existing framework for the new Nigerian contributory pension scheme is not Shari’ah compliant.             </w:t>
      </w:r>
    </w:p>
    <w:p w:rsidR="00716884" w:rsidRPr="00F407C4" w:rsidRDefault="00662573" w:rsidP="00F407C4">
      <w:pPr>
        <w:spacing w:line="360" w:lineRule="auto"/>
        <w:jc w:val="both"/>
        <w:rPr>
          <w:rFonts w:ascii="Times New Roman" w:hAnsi="Times New Roman" w:cs="Times New Roman"/>
          <w:b/>
          <w:sz w:val="24"/>
          <w:szCs w:val="24"/>
        </w:rPr>
      </w:pPr>
      <w:r>
        <w:rPr>
          <w:rFonts w:ascii="Times New Roman" w:hAnsi="Times New Roman" w:cs="Times New Roman"/>
          <w:b/>
          <w:sz w:val="24"/>
          <w:szCs w:val="24"/>
        </w:rPr>
        <w:t>5</w:t>
      </w:r>
      <w:r w:rsidR="008B5C59" w:rsidRPr="00F407C4">
        <w:rPr>
          <w:rFonts w:ascii="Times New Roman" w:hAnsi="Times New Roman" w:cs="Times New Roman"/>
          <w:b/>
          <w:sz w:val="24"/>
          <w:szCs w:val="24"/>
        </w:rPr>
        <w:t>.</w:t>
      </w:r>
      <w:r w:rsidR="008B5C59" w:rsidRPr="00F407C4">
        <w:rPr>
          <w:rFonts w:ascii="Times New Roman" w:hAnsi="Times New Roman" w:cs="Times New Roman"/>
          <w:b/>
          <w:sz w:val="24"/>
          <w:szCs w:val="24"/>
        </w:rPr>
        <w:tab/>
      </w:r>
      <w:r w:rsidR="006B6DCF">
        <w:rPr>
          <w:rFonts w:ascii="Times New Roman" w:hAnsi="Times New Roman" w:cs="Times New Roman"/>
          <w:b/>
          <w:sz w:val="24"/>
          <w:szCs w:val="24"/>
        </w:rPr>
        <w:t xml:space="preserve">Nigerian </w:t>
      </w:r>
      <w:r w:rsidR="00716884" w:rsidRPr="00F407C4">
        <w:rPr>
          <w:rFonts w:ascii="Times New Roman" w:hAnsi="Times New Roman" w:cs="Times New Roman"/>
          <w:b/>
          <w:sz w:val="24"/>
          <w:szCs w:val="24"/>
        </w:rPr>
        <w:t>Administration of Pension Funds and Islamic law issues</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Understanding the basic Sharīʿah principles and parameters in structuring financial products and services in Islamic financial institutions either in Islamic insurance, Islamic banking, Islamic capital markets, Islamic pawnshops, Islamic cooperative or other institutions offering Islamic financial services is very demanding for product development particularly </w:t>
      </w:r>
      <w:r w:rsidRPr="00F407C4">
        <w:rPr>
          <w:rFonts w:ascii="Times New Roman" w:hAnsi="Times New Roman" w:cs="Times New Roman"/>
          <w:i/>
          <w:sz w:val="24"/>
          <w:szCs w:val="24"/>
        </w:rPr>
        <w:t>ribā</w:t>
      </w:r>
      <w:r w:rsidRPr="00F407C4">
        <w:rPr>
          <w:rFonts w:ascii="Times New Roman" w:hAnsi="Times New Roman" w:cs="Times New Roman"/>
          <w:sz w:val="24"/>
          <w:szCs w:val="24"/>
        </w:rPr>
        <w:t xml:space="preserve">(usury), </w:t>
      </w:r>
      <w:r w:rsidRPr="00F407C4">
        <w:rPr>
          <w:rFonts w:ascii="Times New Roman" w:hAnsi="Times New Roman" w:cs="Times New Roman"/>
          <w:i/>
          <w:sz w:val="24"/>
          <w:szCs w:val="24"/>
        </w:rPr>
        <w:t>gharar</w:t>
      </w:r>
      <w:r w:rsidRPr="00F407C4">
        <w:rPr>
          <w:rFonts w:ascii="Times New Roman" w:hAnsi="Times New Roman" w:cs="Times New Roman"/>
          <w:sz w:val="24"/>
          <w:szCs w:val="24"/>
        </w:rPr>
        <w:t xml:space="preserve"> (ambiguity) and </w:t>
      </w:r>
      <w:r w:rsidRPr="00F407C4">
        <w:rPr>
          <w:rFonts w:ascii="Times New Roman" w:hAnsi="Times New Roman" w:cs="Times New Roman"/>
          <w:i/>
          <w:sz w:val="24"/>
          <w:szCs w:val="24"/>
        </w:rPr>
        <w:t>maisir</w:t>
      </w:r>
      <w:r w:rsidRPr="00F407C4">
        <w:rPr>
          <w:rFonts w:ascii="Times New Roman" w:hAnsi="Times New Roman" w:cs="Times New Roman"/>
          <w:sz w:val="24"/>
          <w:szCs w:val="24"/>
        </w:rPr>
        <w:t xml:space="preserve"> (gambling)</w:t>
      </w:r>
      <w:r w:rsidRPr="00F407C4">
        <w:rPr>
          <w:rStyle w:val="FootnoteReference"/>
          <w:rFonts w:ascii="Times New Roman" w:hAnsi="Times New Roman" w:cs="Times New Roman"/>
          <w:sz w:val="24"/>
          <w:szCs w:val="24"/>
        </w:rPr>
        <w:footnoteReference w:id="24"/>
      </w:r>
      <w:r w:rsidRPr="00F407C4">
        <w:rPr>
          <w:rFonts w:ascii="Times New Roman" w:hAnsi="Times New Roman" w:cs="Times New Roman"/>
          <w:sz w:val="24"/>
          <w:szCs w:val="24"/>
        </w:rPr>
        <w:t>. In Islam, the transaction in trade and commerce must conform to the requirement of Sharīʿah which means the abstinence from prohibitions (prohibited matters) and observing that every contract possesses all its essential elements and that every essential element meets its necessary conditions.</w:t>
      </w:r>
      <w:r w:rsidRPr="00F407C4">
        <w:rPr>
          <w:rStyle w:val="FootnoteReference"/>
          <w:rFonts w:ascii="Times New Roman" w:hAnsi="Times New Roman" w:cs="Times New Roman"/>
          <w:sz w:val="24"/>
          <w:szCs w:val="24"/>
        </w:rPr>
        <w:footnoteReference w:id="25"/>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This sections examines the basic Sharīʿah principles in structuring the product in Islamic financial services particularly pension funds from fiqh point of view particularly basic general prohibition in commercial transactions such as </w:t>
      </w:r>
      <w:r w:rsidRPr="00F407C4">
        <w:rPr>
          <w:rFonts w:ascii="Times New Roman" w:hAnsi="Times New Roman" w:cs="Times New Roman"/>
          <w:i/>
          <w:sz w:val="24"/>
          <w:szCs w:val="24"/>
        </w:rPr>
        <w:t>ribā</w:t>
      </w:r>
      <w:r w:rsidRPr="00F407C4">
        <w:rPr>
          <w:rFonts w:ascii="Times New Roman" w:hAnsi="Times New Roman" w:cs="Times New Roman"/>
          <w:sz w:val="24"/>
          <w:szCs w:val="24"/>
        </w:rPr>
        <w:t xml:space="preserve"> (usury or interest), </w:t>
      </w:r>
      <w:r w:rsidRPr="00F407C4">
        <w:rPr>
          <w:rFonts w:ascii="Times New Roman" w:hAnsi="Times New Roman" w:cs="Times New Roman"/>
          <w:i/>
          <w:sz w:val="24"/>
          <w:szCs w:val="24"/>
        </w:rPr>
        <w:t>gharar</w:t>
      </w:r>
      <w:r w:rsidRPr="00F407C4">
        <w:rPr>
          <w:rFonts w:ascii="Times New Roman" w:hAnsi="Times New Roman" w:cs="Times New Roman"/>
          <w:sz w:val="24"/>
          <w:szCs w:val="24"/>
        </w:rPr>
        <w:t xml:space="preserve"> (uncertain or unclear elements in business contracts) and </w:t>
      </w:r>
      <w:r w:rsidRPr="00F407C4">
        <w:rPr>
          <w:rFonts w:ascii="Times New Roman" w:hAnsi="Times New Roman" w:cs="Times New Roman"/>
          <w:i/>
          <w:sz w:val="24"/>
          <w:szCs w:val="24"/>
        </w:rPr>
        <w:t>maisir</w:t>
      </w:r>
      <w:r w:rsidRPr="00F407C4">
        <w:rPr>
          <w:rFonts w:ascii="Times New Roman" w:hAnsi="Times New Roman" w:cs="Times New Roman"/>
          <w:sz w:val="24"/>
          <w:szCs w:val="24"/>
        </w:rPr>
        <w:t xml:space="preserve">  (transactions similar to gambling), and the contracts  banned by Sharīʿah.  Therefore, the section first highlights the meaning of ribā and </w:t>
      </w:r>
      <w:r w:rsidRPr="00F407C4">
        <w:rPr>
          <w:rFonts w:ascii="Times New Roman" w:hAnsi="Times New Roman" w:cs="Times New Roman"/>
          <w:sz w:val="24"/>
          <w:szCs w:val="24"/>
        </w:rPr>
        <w:lastRenderedPageBreak/>
        <w:t xml:space="preserve">how they may occur in the administration of pension funds and services. Second, examines proper understanding of </w:t>
      </w:r>
      <w:r w:rsidRPr="00F407C4">
        <w:rPr>
          <w:rFonts w:ascii="Times New Roman" w:hAnsi="Times New Roman" w:cs="Times New Roman"/>
          <w:i/>
          <w:iCs/>
          <w:sz w:val="24"/>
          <w:szCs w:val="24"/>
        </w:rPr>
        <w:t>Gharar</w:t>
      </w:r>
      <w:r w:rsidRPr="00F407C4">
        <w:rPr>
          <w:rFonts w:ascii="Times New Roman" w:hAnsi="Times New Roman" w:cs="Times New Roman"/>
          <w:sz w:val="24"/>
          <w:szCs w:val="24"/>
        </w:rPr>
        <w:t xml:space="preserve">, types of </w:t>
      </w:r>
      <w:r w:rsidRPr="00F407C4">
        <w:rPr>
          <w:rFonts w:ascii="Times New Roman" w:hAnsi="Times New Roman" w:cs="Times New Roman"/>
          <w:i/>
          <w:iCs/>
          <w:sz w:val="24"/>
          <w:szCs w:val="24"/>
        </w:rPr>
        <w:t>Gharar</w:t>
      </w:r>
      <w:r w:rsidRPr="00F407C4">
        <w:rPr>
          <w:rFonts w:ascii="Times New Roman" w:hAnsi="Times New Roman" w:cs="Times New Roman"/>
          <w:sz w:val="24"/>
          <w:szCs w:val="24"/>
        </w:rPr>
        <w:t xml:space="preserve">, and how they may involve in pension funds and finance transaction. Third elucidates the concept of </w:t>
      </w:r>
      <w:r w:rsidRPr="00F407C4">
        <w:rPr>
          <w:rFonts w:ascii="Times New Roman" w:hAnsi="Times New Roman" w:cs="Times New Roman"/>
          <w:i/>
          <w:iCs/>
          <w:sz w:val="24"/>
          <w:szCs w:val="24"/>
        </w:rPr>
        <w:t>Maisir</w:t>
      </w:r>
      <w:r w:rsidRPr="00F407C4">
        <w:rPr>
          <w:rFonts w:ascii="Times New Roman" w:hAnsi="Times New Roman" w:cs="Times New Roman"/>
          <w:sz w:val="24"/>
          <w:szCs w:val="24"/>
        </w:rPr>
        <w:t>, and how it relates to pension funds.</w:t>
      </w:r>
    </w:p>
    <w:p w:rsidR="00716884" w:rsidRPr="007D5ECF" w:rsidRDefault="00662573" w:rsidP="007D5ECF">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5.1</w:t>
      </w:r>
      <w:r>
        <w:rPr>
          <w:rFonts w:ascii="Times New Roman" w:hAnsi="Times New Roman" w:cs="Times New Roman"/>
          <w:b/>
          <w:i/>
          <w:sz w:val="24"/>
          <w:szCs w:val="24"/>
        </w:rPr>
        <w:tab/>
      </w:r>
      <w:r w:rsidR="00716884" w:rsidRPr="007D5ECF">
        <w:rPr>
          <w:rFonts w:ascii="Times New Roman" w:hAnsi="Times New Roman" w:cs="Times New Roman"/>
          <w:b/>
          <w:i/>
          <w:sz w:val="24"/>
          <w:szCs w:val="24"/>
        </w:rPr>
        <w:t>Gharar</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Gharar is the second important element in transaction with the aim to avoid deception and to protect the right of contracting parties, minimize disputes and to reduce the opportunity of exploitation one counterparty by another in transactions, so that no one or both parties cheated or aggrieved. Gharar literally means: danger or exposure to destruction, risk or hazard or risk taking, deception, delusiveness, peril, hazard, fallaciousness, undisclosed, and uncertainty. In financial application, gharar means deceptive uncertainty which indicating the one who practice gharar deceives or frauds through the use of uncertainty</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Gharar has also been described as uncertainty or risks caused by a lack of clarity regarding the subject matter or the price in a contract or exchange. A sale or any other business contract which entails an element of Gharar is prohibited.</w:t>
      </w:r>
      <w:r w:rsidRPr="00F407C4">
        <w:rPr>
          <w:rStyle w:val="FootnoteReference"/>
          <w:rFonts w:ascii="Times New Roman" w:hAnsi="Times New Roman" w:cs="Times New Roman"/>
          <w:sz w:val="24"/>
          <w:szCs w:val="24"/>
        </w:rPr>
        <w:footnoteReference w:id="26"/>
      </w:r>
      <w:r w:rsidRPr="00F407C4">
        <w:rPr>
          <w:rFonts w:ascii="Times New Roman" w:hAnsi="Times New Roman" w:cs="Times New Roman"/>
          <w:sz w:val="24"/>
          <w:szCs w:val="24"/>
        </w:rPr>
        <w:t xml:space="preserve"> An example in the context of Islamic finance is to advise a customer to buy shares in a company that is the subject of a takeover bid on the grounds that the share price is likely to increase.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Gharar has been characterized as follows by Ibn Taymiyyah</w:t>
      </w:r>
      <w:r w:rsidR="00174CF4">
        <w:rPr>
          <w:rFonts w:ascii="Times New Roman" w:hAnsi="Times New Roman" w:cs="Times New Roman"/>
          <w:sz w:val="24"/>
          <w:szCs w:val="24"/>
        </w:rPr>
        <w:t xml:space="preserve"> in the following words:</w:t>
      </w:r>
      <w:r w:rsidRPr="00F407C4">
        <w:rPr>
          <w:rStyle w:val="FootnoteReference"/>
          <w:rFonts w:ascii="Times New Roman" w:hAnsi="Times New Roman" w:cs="Times New Roman"/>
          <w:sz w:val="24"/>
          <w:szCs w:val="24"/>
        </w:rPr>
        <w:footnoteReference w:id="27"/>
      </w:r>
    </w:p>
    <w:p w:rsidR="00716884" w:rsidRPr="00174CF4" w:rsidRDefault="00716884" w:rsidP="00174CF4">
      <w:pPr>
        <w:spacing w:line="240" w:lineRule="auto"/>
        <w:ind w:left="1440"/>
        <w:jc w:val="both"/>
        <w:rPr>
          <w:rFonts w:ascii="Times New Roman" w:hAnsi="Times New Roman" w:cs="Times New Roman"/>
        </w:rPr>
      </w:pPr>
      <w:r w:rsidRPr="00174CF4">
        <w:rPr>
          <w:rFonts w:ascii="Times New Roman" w:hAnsi="Times New Roman" w:cs="Times New Roman"/>
        </w:rPr>
        <w:t>In a gharar sale, one party obtains something, while the other is under risk, which leads to regret of one of them, and their dispute. [...] It is well known that Allah and his Messenger did not prohibit every kind of risk. Nor all kinds of transactions that involve the possibility of gain or loss or neutrality are prohibited. What is prohibited among such kinds is eating wealth for nothing, even if there were no risk, not that risk as such is prohibited</w:t>
      </w:r>
      <w:r w:rsidR="00174CF4" w:rsidRPr="00174CF4">
        <w:rPr>
          <w:rFonts w:ascii="Times New Roman" w:hAnsi="Times New Roman" w:cs="Times New Roman"/>
        </w:rPr>
        <w:t>.</w:t>
      </w:r>
      <w:r w:rsidRPr="00174CF4">
        <w:rPr>
          <w:rStyle w:val="FootnoteReference"/>
          <w:rFonts w:ascii="Times New Roman" w:hAnsi="Times New Roman" w:cs="Times New Roman"/>
        </w:rPr>
        <w:footnoteReference w:id="28"/>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Ibn Taymiyyah's student, Ibn al-Qayyim</w:t>
      </w:r>
      <w:r w:rsidRPr="00F407C4">
        <w:rPr>
          <w:rStyle w:val="FootnoteReference"/>
          <w:rFonts w:ascii="Times New Roman" w:hAnsi="Times New Roman" w:cs="Times New Roman"/>
          <w:sz w:val="24"/>
          <w:szCs w:val="24"/>
        </w:rPr>
        <w:footnoteReference w:id="29"/>
      </w:r>
      <w:r w:rsidRPr="00F407C4">
        <w:rPr>
          <w:rFonts w:ascii="Times New Roman" w:hAnsi="Times New Roman" w:cs="Times New Roman"/>
          <w:sz w:val="24"/>
          <w:szCs w:val="24"/>
        </w:rPr>
        <w:t xml:space="preserve"> stated:</w:t>
      </w:r>
    </w:p>
    <w:p w:rsidR="00716884" w:rsidRPr="00174CF4" w:rsidRDefault="00716884" w:rsidP="00174CF4">
      <w:pPr>
        <w:spacing w:line="240" w:lineRule="auto"/>
        <w:ind w:left="1440"/>
        <w:jc w:val="both"/>
        <w:rPr>
          <w:rFonts w:ascii="Times New Roman" w:hAnsi="Times New Roman" w:cs="Times New Roman"/>
        </w:rPr>
      </w:pPr>
      <w:r w:rsidRPr="00174CF4">
        <w:rPr>
          <w:rFonts w:ascii="Times New Roman" w:hAnsi="Times New Roman" w:cs="Times New Roman"/>
        </w:rPr>
        <w:lastRenderedPageBreak/>
        <w:t>Gharar is the possibility of existence and non-existence. Its sale is forbidden because it is a sort of gambling, which is maysir [games of chance]. Allah forbade it because of eating other's wealth for nothing, and this is injustice that Allah has forbidden. It becomes gambling when one party gets a reward (benefit) while the other might not get it, so this becomes illegal, like the</w:t>
      </w:r>
      <w:r w:rsidR="00174CF4" w:rsidRPr="00174CF4">
        <w:rPr>
          <w:rFonts w:ascii="Times New Roman" w:hAnsi="Times New Roman" w:cs="Times New Roman"/>
        </w:rPr>
        <w:t xml:space="preserve"> sale of runaway slave [...] I</w:t>
      </w:r>
      <w:r w:rsidRPr="00174CF4">
        <w:rPr>
          <w:rFonts w:ascii="Times New Roman" w:hAnsi="Times New Roman" w:cs="Times New Roman"/>
        </w:rPr>
        <w:t>t is sold for less than its price. If it is found, the seller regrets, if not, the buyer regrets</w:t>
      </w:r>
      <w:r w:rsidR="00174CF4" w:rsidRPr="00174CF4">
        <w:rPr>
          <w:rFonts w:ascii="Times New Roman" w:hAnsi="Times New Roman" w:cs="Times New Roman"/>
        </w:rPr>
        <w:t>.</w:t>
      </w:r>
      <w:r w:rsidRPr="00174CF4">
        <w:rPr>
          <w:rStyle w:val="FootnoteReference"/>
          <w:rFonts w:ascii="Times New Roman" w:hAnsi="Times New Roman" w:cs="Times New Roman"/>
        </w:rPr>
        <w:footnoteReference w:id="30"/>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Thus gharar occurs when one party to a contract acquires a benefit from the other party without payment, or not paying the true counter value for such benefit, resulting in the party not obtaining the true counter value and regretting the transaction. Such a situation can result in ribd al-fadl (excessive benefit/gain) due to the inequity of the sale.</w:t>
      </w:r>
      <w:r w:rsidRPr="00F407C4">
        <w:rPr>
          <w:rStyle w:val="FootnoteReference"/>
          <w:rFonts w:ascii="Times New Roman" w:hAnsi="Times New Roman" w:cs="Times New Roman"/>
          <w:sz w:val="24"/>
          <w:szCs w:val="24"/>
        </w:rPr>
        <w:footnoteReference w:id="31"/>
      </w:r>
      <w:r w:rsidRPr="00F407C4">
        <w:rPr>
          <w:rFonts w:ascii="Times New Roman" w:hAnsi="Times New Roman" w:cs="Times New Roman"/>
          <w:sz w:val="24"/>
          <w:szCs w:val="24"/>
        </w:rPr>
        <w:t xml:space="preserve"> Ibn Taymiyyah illustrated that the effective cause (illah) of gharar is uncertainty when he stated:</w:t>
      </w:r>
    </w:p>
    <w:p w:rsidR="00716884" w:rsidRPr="00EB5055" w:rsidRDefault="00716884" w:rsidP="00EB5055">
      <w:pPr>
        <w:spacing w:line="240" w:lineRule="auto"/>
        <w:ind w:left="1440" w:firstLine="45"/>
        <w:jc w:val="both"/>
        <w:rPr>
          <w:rFonts w:ascii="Times New Roman" w:hAnsi="Times New Roman" w:cs="Times New Roman"/>
        </w:rPr>
      </w:pPr>
      <w:r w:rsidRPr="00EB5055">
        <w:rPr>
          <w:rFonts w:ascii="Times New Roman" w:hAnsi="Times New Roman" w:cs="Times New Roman"/>
        </w:rPr>
        <w:t>... There must be another effective cause for the prohibition of sale of those articles, which are non-existent and this effective cause is gharar [uncertainty]. Consequently, only the state of non-existence that leads to uncertainty is prohibited from the sale on the ground of uncertainty, but not on the ground of non-existence [...] for instance, if one sells the future offspring of a particular animal…</w:t>
      </w:r>
      <w:r w:rsidRPr="00EB5055">
        <w:rPr>
          <w:rStyle w:val="FootnoteReference"/>
          <w:rFonts w:ascii="Times New Roman" w:hAnsi="Times New Roman" w:cs="Times New Roman"/>
        </w:rPr>
        <w:footnoteReference w:id="32"/>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Generally, Gharar can be divided in two categories:</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First: Tolerable Gharar: The Tolerable Gharar (Gharar yasīr, minor gharar) is Gharar that can be tolerated and acceptable by both parties, and would not affect the essence of the contract. For example, buy a specified car from dealer which will delivered by next week with agreed price for 100 million. Although the car does not exist today (uncertainty in existence), the dealer however </w:t>
      </w:r>
      <w:r w:rsidRPr="00F407C4">
        <w:rPr>
          <w:rFonts w:ascii="Times New Roman" w:hAnsi="Times New Roman" w:cs="Times New Roman"/>
          <w:sz w:val="24"/>
          <w:szCs w:val="24"/>
        </w:rPr>
        <w:lastRenderedPageBreak/>
        <w:t>will ensure that the car will delivered to A at the time agreed. Muslims jurists agreed that the minor gharar (gharar yasīr) is tolerated and permissible</w:t>
      </w:r>
      <w:r w:rsidRPr="00F407C4">
        <w:rPr>
          <w:rStyle w:val="FootnoteReference"/>
          <w:rFonts w:ascii="Times New Roman" w:hAnsi="Times New Roman" w:cs="Times New Roman"/>
          <w:sz w:val="24"/>
          <w:szCs w:val="24"/>
        </w:rPr>
        <w:footnoteReference w:id="33"/>
      </w:r>
      <w:r w:rsidRPr="00F407C4">
        <w:rPr>
          <w:rFonts w:ascii="Times New Roman" w:hAnsi="Times New Roman" w:cs="Times New Roman"/>
          <w:sz w:val="24"/>
          <w:szCs w:val="24"/>
        </w:rPr>
        <w:t>.</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Second: Prohibited Gharar: The prohibited gharar (gharar fahish, major or excessive gharar) is an uncertainty which is so high and overwhelms a contract</w:t>
      </w:r>
      <w:r w:rsidRPr="00F407C4">
        <w:rPr>
          <w:rStyle w:val="FootnoteReference"/>
          <w:rFonts w:ascii="Times New Roman" w:hAnsi="Times New Roman" w:cs="Times New Roman"/>
          <w:sz w:val="24"/>
          <w:szCs w:val="24"/>
        </w:rPr>
        <w:footnoteReference w:id="34"/>
      </w:r>
      <w:r w:rsidRPr="00F407C4">
        <w:rPr>
          <w:rFonts w:ascii="Times New Roman" w:hAnsi="Times New Roman" w:cs="Times New Roman"/>
          <w:sz w:val="24"/>
          <w:szCs w:val="24"/>
        </w:rPr>
        <w:t>. It may arise when one the buyer or the seller is not capable of taking responsibility due to lack of majority age from legal and Shariah aspect, the buyer or seller is coerced, the object not exist, not free from encumbrances, not specified or not according to specification, or the price not stated in the agreement and two price in one transaction It is emphasized by Ibn Rushd</w:t>
      </w:r>
      <w:r w:rsidRPr="00F407C4">
        <w:rPr>
          <w:rStyle w:val="FootnoteReference"/>
          <w:rFonts w:ascii="Times New Roman" w:hAnsi="Times New Roman" w:cs="Times New Roman"/>
          <w:sz w:val="24"/>
          <w:szCs w:val="24"/>
        </w:rPr>
        <w:footnoteReference w:id="35"/>
      </w:r>
      <w:r w:rsidRPr="00F407C4">
        <w:rPr>
          <w:rFonts w:ascii="Times New Roman" w:hAnsi="Times New Roman" w:cs="Times New Roman"/>
          <w:sz w:val="24"/>
          <w:szCs w:val="24"/>
        </w:rPr>
        <w:t>the major gharar originates from the ignorance and lack of information over the nature and attributes of an object, a doubt over its availability and existence, doubt over its quantity and quality, or exact information concerning the price, the unit of the currency in which the price is paid, and the terms of payment. It also related to the time of payment and deliverability of the object</w:t>
      </w:r>
      <w:r w:rsidRPr="00F407C4">
        <w:rPr>
          <w:rStyle w:val="FootnoteReference"/>
          <w:rFonts w:ascii="Times New Roman" w:hAnsi="Times New Roman" w:cs="Times New Roman"/>
          <w:sz w:val="24"/>
          <w:szCs w:val="24"/>
        </w:rPr>
        <w:footnoteReference w:id="36"/>
      </w:r>
      <w:r w:rsidRPr="00F407C4">
        <w:rPr>
          <w:rFonts w:ascii="Times New Roman" w:hAnsi="Times New Roman" w:cs="Times New Roman"/>
          <w:sz w:val="24"/>
          <w:szCs w:val="24"/>
        </w:rPr>
        <w:t xml:space="preserve">.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Simply put, According to Imam Ibn Taymiyyah, the wisdom behind the prohibition of gharar sale or any contract which contains the elements of uncertainty and hazard in which the sale will result taking someone else's property for vanities and injustice which is kind of immorality and hostility </w:t>
      </w:r>
      <w:r w:rsidRPr="00F407C4">
        <w:rPr>
          <w:rStyle w:val="FootnoteReference"/>
          <w:rFonts w:ascii="Times New Roman" w:hAnsi="Times New Roman" w:cs="Times New Roman"/>
          <w:sz w:val="24"/>
          <w:szCs w:val="24"/>
        </w:rPr>
        <w:footnoteReference w:id="37"/>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A contemporary example of gharar is conventional insurance. Conventional insurance does carry excessive gharar. Firstly is because the subject matters exchanged in the contract are between money and money which is a kind of a buying and selling contract thus making the contract exposed to conditions or requirements of reasonable knowledge in the subject matters’ quantum as well as the ability to deliver them. Thus necessitate a definite fixation of the subject matters and this is not true for an insurance contract. Any breach of one of the conditions constitutes an </w:t>
      </w:r>
      <w:r w:rsidRPr="00F407C4">
        <w:rPr>
          <w:rFonts w:ascii="Times New Roman" w:hAnsi="Times New Roman" w:cs="Times New Roman"/>
          <w:sz w:val="24"/>
          <w:szCs w:val="24"/>
        </w:rPr>
        <w:lastRenderedPageBreak/>
        <w:t xml:space="preserve">uncertainty in the subject matters either the premium or the compensation. And consequently these uncertainties will lead to the uncertainty of the execution of the contract itself.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Secondly are all of the uncertainties arising due to uncertainty of the happening of the insured event as well as the time of happening? Although the event or the time is beyond man’s control, any contract attached with these conditions is not allowed due to want of knowledge. Want of knowledge itself shall result in the existence of gharar in the contract.</w:t>
      </w:r>
      <w:r w:rsidRPr="00F407C4">
        <w:rPr>
          <w:rStyle w:val="FootnoteReference"/>
          <w:rFonts w:ascii="Times New Roman" w:hAnsi="Times New Roman" w:cs="Times New Roman"/>
          <w:sz w:val="24"/>
          <w:szCs w:val="24"/>
        </w:rPr>
        <w:footnoteReference w:id="38"/>
      </w:r>
    </w:p>
    <w:p w:rsidR="00716884" w:rsidRPr="00662573" w:rsidRDefault="00662573" w:rsidP="00662573">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5.2</w:t>
      </w:r>
      <w:r>
        <w:rPr>
          <w:rFonts w:ascii="Times New Roman" w:hAnsi="Times New Roman" w:cs="Times New Roman"/>
          <w:b/>
          <w:i/>
          <w:sz w:val="24"/>
          <w:szCs w:val="24"/>
        </w:rPr>
        <w:tab/>
      </w:r>
      <w:r w:rsidR="00716884" w:rsidRPr="00662573">
        <w:rPr>
          <w:rFonts w:ascii="Times New Roman" w:hAnsi="Times New Roman" w:cs="Times New Roman"/>
          <w:b/>
          <w:i/>
          <w:sz w:val="24"/>
          <w:szCs w:val="24"/>
        </w:rPr>
        <w:t>Maisir</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Maisir in the Arabic word from the word al-yasar (easy) literally mean easily available wealth or game of chance </w:t>
      </w:r>
      <w:r w:rsidRPr="00F407C4">
        <w:rPr>
          <w:rStyle w:val="FootnoteReference"/>
          <w:rFonts w:ascii="Times New Roman" w:hAnsi="Times New Roman" w:cs="Times New Roman"/>
          <w:sz w:val="24"/>
          <w:szCs w:val="24"/>
        </w:rPr>
        <w:footnoteReference w:id="39"/>
      </w:r>
      <w:r w:rsidRPr="00F407C4">
        <w:rPr>
          <w:rFonts w:ascii="Times New Roman" w:hAnsi="Times New Roman" w:cs="Times New Roman"/>
          <w:sz w:val="24"/>
          <w:szCs w:val="24"/>
        </w:rPr>
        <w:t>or refers to acquisition of wealth by chance whether or not it deprived the other people’s right and cause harm to others</w:t>
      </w:r>
      <w:r w:rsidR="00EB5055">
        <w:rPr>
          <w:rFonts w:ascii="Times New Roman" w:hAnsi="Times New Roman" w:cs="Times New Roman"/>
          <w:sz w:val="24"/>
          <w:szCs w:val="24"/>
        </w:rPr>
        <w:t>,</w:t>
      </w:r>
      <w:r w:rsidRPr="00F407C4">
        <w:rPr>
          <w:rStyle w:val="FootnoteReference"/>
          <w:rFonts w:ascii="Times New Roman" w:hAnsi="Times New Roman" w:cs="Times New Roman"/>
          <w:sz w:val="24"/>
          <w:szCs w:val="24"/>
        </w:rPr>
        <w:footnoteReference w:id="40"/>
      </w:r>
      <w:r w:rsidR="00EB5055">
        <w:rPr>
          <w:rFonts w:ascii="Times New Roman" w:hAnsi="Times New Roman" w:cs="Times New Roman"/>
          <w:sz w:val="24"/>
          <w:szCs w:val="24"/>
        </w:rPr>
        <w:t xml:space="preserve"> </w:t>
      </w:r>
      <w:r w:rsidRPr="00F407C4">
        <w:rPr>
          <w:rFonts w:ascii="Times New Roman" w:hAnsi="Times New Roman" w:cs="Times New Roman"/>
          <w:sz w:val="24"/>
          <w:szCs w:val="24"/>
        </w:rPr>
        <w:t>or obtaining something easily without any hard work or receive benefits without working. According to al-Masri</w:t>
      </w:r>
      <w:r w:rsidRPr="00F407C4">
        <w:rPr>
          <w:rStyle w:val="FootnoteReference"/>
          <w:rFonts w:ascii="Times New Roman" w:hAnsi="Times New Roman" w:cs="Times New Roman"/>
          <w:sz w:val="24"/>
          <w:szCs w:val="24"/>
        </w:rPr>
        <w:footnoteReference w:id="41"/>
      </w:r>
      <w:r w:rsidRPr="00F407C4">
        <w:rPr>
          <w:rFonts w:ascii="Times New Roman" w:hAnsi="Times New Roman" w:cs="Times New Roman"/>
          <w:sz w:val="24"/>
          <w:szCs w:val="24"/>
        </w:rPr>
        <w:t xml:space="preserve"> Maisir and qimar has the same meaning, it is a game of chance with a combative relationship between two contracting parties, each of whom undertakes the risk of loss, and the loss of one means gain for the other.</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In other word if a person puts some of his money or a part of his wealth at stake wherein the amount of money at risk might bring huge sums of money or might not bring any. In the comm</w:t>
      </w:r>
      <w:r w:rsidR="001461B8">
        <w:rPr>
          <w:rFonts w:ascii="Times New Roman" w:hAnsi="Times New Roman" w:cs="Times New Roman"/>
          <w:sz w:val="24"/>
          <w:szCs w:val="24"/>
        </w:rPr>
        <w:t>on practice, Maisir is used to refer to</w:t>
      </w:r>
      <w:r w:rsidRPr="00F407C4">
        <w:rPr>
          <w:rFonts w:ascii="Times New Roman" w:hAnsi="Times New Roman" w:cs="Times New Roman"/>
          <w:sz w:val="24"/>
          <w:szCs w:val="24"/>
        </w:rPr>
        <w:t xml:space="preserve"> as a gamblin</w:t>
      </w:r>
      <w:r w:rsidR="00FA7A35">
        <w:rPr>
          <w:rFonts w:ascii="Times New Roman" w:hAnsi="Times New Roman" w:cs="Times New Roman"/>
          <w:sz w:val="24"/>
          <w:szCs w:val="24"/>
        </w:rPr>
        <w:t>g. Another term used in the Qur’an is the word of ‘</w:t>
      </w:r>
      <w:r w:rsidRPr="00F407C4">
        <w:rPr>
          <w:rFonts w:ascii="Times New Roman" w:hAnsi="Times New Roman" w:cs="Times New Roman"/>
          <w:sz w:val="24"/>
          <w:szCs w:val="24"/>
        </w:rPr>
        <w:t>azlam’ means gambling practices</w:t>
      </w:r>
      <w:r w:rsidR="00FA7A35">
        <w:rPr>
          <w:rFonts w:ascii="Times New Roman" w:hAnsi="Times New Roman" w:cs="Times New Roman"/>
          <w:sz w:val="24"/>
          <w:szCs w:val="24"/>
        </w:rPr>
        <w:t>.</w:t>
      </w:r>
      <w:r w:rsidRPr="00F407C4">
        <w:rPr>
          <w:rStyle w:val="FootnoteReference"/>
          <w:rFonts w:ascii="Times New Roman" w:hAnsi="Times New Roman" w:cs="Times New Roman"/>
          <w:sz w:val="24"/>
          <w:szCs w:val="24"/>
        </w:rPr>
        <w:footnoteReference w:id="42"/>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The term Gambling in Islamic finance is defined as "any transaction conducted by the two parties to posses the ownership of a particular asset or service which causes benefit to one party and harm to others by linking a particular transaction </w:t>
      </w:r>
      <w:r w:rsidR="00FA7A35">
        <w:rPr>
          <w:rFonts w:ascii="Times New Roman" w:hAnsi="Times New Roman" w:cs="Times New Roman"/>
          <w:sz w:val="24"/>
          <w:szCs w:val="24"/>
        </w:rPr>
        <w:t>with an act or event.". Ibn al-</w:t>
      </w:r>
      <w:r w:rsidRPr="00F407C4">
        <w:rPr>
          <w:rFonts w:ascii="Times New Roman" w:hAnsi="Times New Roman" w:cs="Times New Roman"/>
          <w:sz w:val="24"/>
          <w:szCs w:val="24"/>
        </w:rPr>
        <w:t>Arabi defines maisir or qimar as “a game where each contestant seeks to defeat his partner in order to take over the property that provided for the winner</w:t>
      </w:r>
      <w:r w:rsidR="00FA7A35">
        <w:rPr>
          <w:rFonts w:ascii="Times New Roman" w:hAnsi="Times New Roman" w:cs="Times New Roman"/>
          <w:sz w:val="24"/>
          <w:szCs w:val="24"/>
        </w:rPr>
        <w:t>.”</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The Qu’ran explicitly forbids gambling:</w:t>
      </w:r>
    </w:p>
    <w:p w:rsidR="00716884" w:rsidRPr="007B774D" w:rsidRDefault="00716884" w:rsidP="00FA7A35">
      <w:pPr>
        <w:spacing w:line="240" w:lineRule="auto"/>
        <w:ind w:left="1440" w:firstLine="60"/>
        <w:jc w:val="both"/>
        <w:rPr>
          <w:rFonts w:ascii="Times New Roman" w:hAnsi="Times New Roman" w:cs="Times New Roman"/>
          <w:i/>
        </w:rPr>
      </w:pPr>
      <w:r w:rsidRPr="007B774D">
        <w:rPr>
          <w:rFonts w:ascii="Times New Roman" w:hAnsi="Times New Roman" w:cs="Times New Roman"/>
          <w:i/>
        </w:rPr>
        <w:lastRenderedPageBreak/>
        <w:t>O you who believe, intoxicants, and gambling, and the altars of idols, and the games of chance are abominations of the devil; you shall avoid them, that you may succeed.</w:t>
      </w:r>
      <w:r w:rsidRPr="007B774D">
        <w:rPr>
          <w:rStyle w:val="FootnoteReference"/>
          <w:rFonts w:ascii="Times New Roman" w:hAnsi="Times New Roman" w:cs="Times New Roman"/>
          <w:i/>
        </w:rPr>
        <w:footnoteReference w:id="43"/>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Similarly, the Qur’an also states,</w:t>
      </w:r>
    </w:p>
    <w:p w:rsidR="00716884" w:rsidRPr="007B774D" w:rsidRDefault="007B774D" w:rsidP="007B774D">
      <w:pPr>
        <w:spacing w:line="240" w:lineRule="auto"/>
        <w:ind w:left="1440"/>
        <w:jc w:val="both"/>
        <w:rPr>
          <w:rFonts w:ascii="Times New Roman" w:hAnsi="Times New Roman" w:cs="Times New Roman"/>
        </w:rPr>
      </w:pPr>
      <w:r>
        <w:rPr>
          <w:rFonts w:ascii="Times New Roman" w:hAnsi="Times New Roman" w:cs="Times New Roman"/>
          <w:i/>
          <w:sz w:val="24"/>
          <w:szCs w:val="24"/>
        </w:rPr>
        <w:t xml:space="preserve"> </w:t>
      </w:r>
      <w:r w:rsidR="003E06C8" w:rsidRPr="007B774D">
        <w:rPr>
          <w:rFonts w:ascii="Times New Roman" w:hAnsi="Times New Roman" w:cs="Times New Roman"/>
        </w:rPr>
        <w:t xml:space="preserve">The </w:t>
      </w:r>
      <w:r w:rsidR="00716884" w:rsidRPr="007B774D">
        <w:rPr>
          <w:rFonts w:ascii="Times New Roman" w:hAnsi="Times New Roman" w:cs="Times New Roman"/>
        </w:rPr>
        <w:t>devil wants to provoke animosity and hatred among you through intoxicants and gambling, and to distract you from remembering God, and from observing the Contact Prayers (Salat). Will you then refrain?</w:t>
      </w:r>
      <w:r w:rsidR="00716884" w:rsidRPr="007B774D">
        <w:rPr>
          <w:rStyle w:val="FootnoteReference"/>
          <w:rFonts w:ascii="Times New Roman" w:hAnsi="Times New Roman" w:cs="Times New Roman"/>
        </w:rPr>
        <w:footnoteReference w:id="44"/>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In relation to the sale of goods, hadith have been variously interpre</w:t>
      </w:r>
      <w:r w:rsidR="003E06C8">
        <w:rPr>
          <w:rFonts w:ascii="Times New Roman" w:hAnsi="Times New Roman" w:cs="Times New Roman"/>
          <w:sz w:val="24"/>
          <w:szCs w:val="24"/>
        </w:rPr>
        <w:t xml:space="preserve">ted to refer both to maisir and </w:t>
      </w:r>
      <w:r w:rsidRPr="00F407C4">
        <w:rPr>
          <w:rFonts w:ascii="Times New Roman" w:hAnsi="Times New Roman" w:cs="Times New Roman"/>
          <w:sz w:val="24"/>
          <w:szCs w:val="24"/>
        </w:rPr>
        <w:t>to gharar because they forbid the sale of “the stroke of the diver” (i.e. anything a diver may return with after a dive), of unexamined goods a buyer touches (a game played by merchants in Mohammed’s time), and of the sale of goods determined by the throwing of a rock (another game).</w:t>
      </w:r>
      <w:r w:rsidRPr="00F407C4">
        <w:rPr>
          <w:rStyle w:val="FootnoteReference"/>
          <w:rFonts w:ascii="Times New Roman" w:hAnsi="Times New Roman" w:cs="Times New Roman"/>
          <w:sz w:val="24"/>
          <w:szCs w:val="24"/>
        </w:rPr>
        <w:footnoteReference w:id="45"/>
      </w:r>
      <w:r w:rsidRPr="00F407C4">
        <w:rPr>
          <w:rFonts w:ascii="Times New Roman" w:hAnsi="Times New Roman" w:cs="Times New Roman"/>
          <w:sz w:val="24"/>
          <w:szCs w:val="24"/>
        </w:rPr>
        <w:t xml:space="preserve"> One of such hadith is</w:t>
      </w:r>
    </w:p>
    <w:p w:rsidR="00716884" w:rsidRPr="003E06C8" w:rsidRDefault="00716884" w:rsidP="003E06C8">
      <w:pPr>
        <w:spacing w:line="240" w:lineRule="auto"/>
        <w:ind w:left="1440"/>
        <w:jc w:val="both"/>
        <w:rPr>
          <w:rFonts w:ascii="Times New Roman" w:hAnsi="Times New Roman" w:cs="Times New Roman"/>
        </w:rPr>
      </w:pPr>
      <w:r w:rsidRPr="003E06C8">
        <w:rPr>
          <w:rFonts w:ascii="Times New Roman" w:hAnsi="Times New Roman" w:cs="Times New Roman"/>
        </w:rPr>
        <w:t>Do not buy fish in the sea, for it is gharar. The Prophet forbade sale of what is in the wombs, sale of the contents of the udders, sale of a</w:t>
      </w:r>
      <w:r w:rsidR="003E06C8">
        <w:rPr>
          <w:rFonts w:ascii="Times New Roman" w:hAnsi="Times New Roman" w:cs="Times New Roman"/>
        </w:rPr>
        <w:t xml:space="preserve"> slave when he is runaway </w:t>
      </w:r>
      <w:r w:rsidR="003E06C8" w:rsidRPr="003E06C8">
        <w:rPr>
          <w:rFonts w:ascii="Times New Roman" w:hAnsi="Times New Roman" w:cs="Times New Roman"/>
        </w:rPr>
        <w:t>.</w:t>
      </w:r>
      <w:r w:rsidRPr="003E06C8">
        <w:rPr>
          <w:rFonts w:ascii="Times New Roman" w:hAnsi="Times New Roman" w:cs="Times New Roman"/>
        </w:rPr>
        <w:t xml:space="preserve">.. The Messenger of God forbade the [sale of] the </w:t>
      </w:r>
      <w:r w:rsidR="003E06C8" w:rsidRPr="003E06C8">
        <w:rPr>
          <w:rFonts w:ascii="Times New Roman" w:hAnsi="Times New Roman" w:cs="Times New Roman"/>
        </w:rPr>
        <w:t xml:space="preserve">copulation of the stallion … </w:t>
      </w:r>
      <w:r w:rsidRPr="003E06C8">
        <w:rPr>
          <w:rFonts w:ascii="Times New Roman" w:hAnsi="Times New Roman" w:cs="Times New Roman"/>
        </w:rPr>
        <w:t>He who purchases food shall not sell it until he [measures] it</w:t>
      </w:r>
      <w:r w:rsidR="003E06C8" w:rsidRPr="003E06C8">
        <w:rPr>
          <w:rFonts w:ascii="Times New Roman" w:hAnsi="Times New Roman" w:cs="Times New Roman"/>
        </w:rPr>
        <w:t>.</w:t>
      </w:r>
      <w:r w:rsidRPr="003E06C8">
        <w:rPr>
          <w:rStyle w:val="FootnoteReference"/>
          <w:rFonts w:ascii="Times New Roman" w:hAnsi="Times New Roman" w:cs="Times New Roman"/>
        </w:rPr>
        <w:footnoteReference w:id="46"/>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The similarities between gambling and these pre-Islamic game-sales are clear; the buyer will be forced to purchase, and the seller forced to sell, something of an unknown value.</w:t>
      </w:r>
      <w:r w:rsidRPr="00F407C4">
        <w:rPr>
          <w:rStyle w:val="FootnoteReference"/>
          <w:rFonts w:ascii="Times New Roman" w:hAnsi="Times New Roman" w:cs="Times New Roman"/>
          <w:sz w:val="24"/>
          <w:szCs w:val="24"/>
        </w:rPr>
        <w:footnoteReference w:id="47"/>
      </w:r>
    </w:p>
    <w:p w:rsidR="00716884" w:rsidRPr="00F407C4" w:rsidRDefault="00662573" w:rsidP="00F407C4">
      <w:pPr>
        <w:spacing w:line="360" w:lineRule="auto"/>
        <w:jc w:val="both"/>
        <w:rPr>
          <w:rFonts w:ascii="Times New Roman" w:hAnsi="Times New Roman" w:cs="Times New Roman"/>
          <w:b/>
          <w:i/>
          <w:sz w:val="24"/>
          <w:szCs w:val="24"/>
        </w:rPr>
      </w:pPr>
      <w:r>
        <w:rPr>
          <w:rFonts w:ascii="Times New Roman" w:hAnsi="Times New Roman" w:cs="Times New Roman"/>
          <w:b/>
          <w:sz w:val="24"/>
          <w:szCs w:val="24"/>
        </w:rPr>
        <w:t>5.3</w:t>
      </w:r>
      <w:r>
        <w:rPr>
          <w:rFonts w:ascii="Times New Roman" w:hAnsi="Times New Roman" w:cs="Times New Roman"/>
          <w:b/>
          <w:sz w:val="24"/>
          <w:szCs w:val="24"/>
        </w:rPr>
        <w:tab/>
      </w:r>
      <w:r w:rsidR="00716884" w:rsidRPr="00F407C4">
        <w:rPr>
          <w:rFonts w:ascii="Times New Roman" w:hAnsi="Times New Roman" w:cs="Times New Roman"/>
          <w:b/>
          <w:i/>
          <w:sz w:val="24"/>
          <w:szCs w:val="24"/>
        </w:rPr>
        <w:t>Ribah</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The literal meaning of “ribā” is “increase, addition, expansion, or growth.. Allah (swt) said: </w:t>
      </w:r>
      <w:r w:rsidRPr="00F407C4">
        <w:rPr>
          <w:rFonts w:ascii="Times New Roman" w:hAnsi="Times New Roman" w:cs="Times New Roman"/>
          <w:i/>
          <w:sz w:val="24"/>
          <w:szCs w:val="24"/>
        </w:rPr>
        <w:t>“But when we pour down rain on it, it is stirred to life, and it swells (rabat)</w:t>
      </w:r>
      <w:r w:rsidRPr="00F407C4">
        <w:rPr>
          <w:rFonts w:ascii="Times New Roman" w:hAnsi="Times New Roman" w:cs="Times New Roman"/>
          <w:sz w:val="24"/>
          <w:szCs w:val="24"/>
        </w:rPr>
        <w:t>”</w:t>
      </w:r>
      <w:r w:rsidRPr="00F407C4">
        <w:rPr>
          <w:rStyle w:val="FootnoteReference"/>
          <w:rFonts w:ascii="Times New Roman" w:hAnsi="Times New Roman" w:cs="Times New Roman"/>
          <w:sz w:val="24"/>
          <w:szCs w:val="24"/>
        </w:rPr>
        <w:footnoteReference w:id="48"/>
      </w:r>
      <w:r w:rsidRPr="00F407C4">
        <w:rPr>
          <w:rFonts w:ascii="Times New Roman" w:hAnsi="Times New Roman" w:cs="Times New Roman"/>
          <w:sz w:val="24"/>
          <w:szCs w:val="24"/>
        </w:rPr>
        <w:t xml:space="preserve"> Thus, the growth that comes forth from the ground is labeled as ribā.  He (swt) also said</w:t>
      </w:r>
      <w:r w:rsidRPr="00F407C4">
        <w:rPr>
          <w:rFonts w:ascii="Times New Roman" w:hAnsi="Times New Roman" w:cs="Times New Roman"/>
          <w:i/>
          <w:sz w:val="24"/>
          <w:szCs w:val="24"/>
        </w:rPr>
        <w:t>: “Lest one party would be more numerous (’arba) than the other”</w:t>
      </w:r>
      <w:r w:rsidRPr="00F407C4">
        <w:rPr>
          <w:rStyle w:val="FootnoteReference"/>
          <w:rFonts w:ascii="Times New Roman" w:hAnsi="Times New Roman" w:cs="Times New Roman"/>
          <w:sz w:val="24"/>
          <w:szCs w:val="24"/>
        </w:rPr>
        <w:footnoteReference w:id="49"/>
      </w:r>
      <w:r w:rsidRPr="00F407C4">
        <w:rPr>
          <w:rFonts w:ascii="Times New Roman" w:hAnsi="Times New Roman" w:cs="Times New Roman"/>
          <w:sz w:val="24"/>
          <w:szCs w:val="24"/>
        </w:rPr>
        <w:t xml:space="preserve">Thus, an increase in number, amount, etc., is considered </w:t>
      </w:r>
      <w:r w:rsidRPr="00F407C4">
        <w:rPr>
          <w:rFonts w:ascii="Times New Roman" w:hAnsi="Times New Roman" w:cs="Times New Roman"/>
          <w:sz w:val="24"/>
          <w:szCs w:val="24"/>
        </w:rPr>
        <w:lastRenderedPageBreak/>
        <w:t>“ribā” in the lexical sense of the word</w:t>
      </w:r>
      <w:r w:rsidRPr="00F407C4">
        <w:rPr>
          <w:rStyle w:val="FootnoteReference"/>
          <w:rFonts w:ascii="Times New Roman" w:hAnsi="Times New Roman" w:cs="Times New Roman"/>
          <w:sz w:val="24"/>
          <w:szCs w:val="24"/>
        </w:rPr>
        <w:footnoteReference w:id="50"/>
      </w:r>
      <w:r w:rsidRPr="00F407C4">
        <w:rPr>
          <w:rFonts w:ascii="Times New Roman" w:hAnsi="Times New Roman" w:cs="Times New Roman"/>
          <w:sz w:val="24"/>
          <w:szCs w:val="24"/>
        </w:rPr>
        <w:t>., In the context of Islamic finance, it means an addition, however slight, over and above the principle of a loan or debt.</w:t>
      </w:r>
      <w:r w:rsidRPr="00F407C4">
        <w:rPr>
          <w:rStyle w:val="FootnoteReference"/>
          <w:rFonts w:ascii="Times New Roman" w:hAnsi="Times New Roman" w:cs="Times New Roman"/>
          <w:sz w:val="24"/>
          <w:szCs w:val="24"/>
        </w:rPr>
        <w:footnoteReference w:id="51"/>
      </w:r>
      <w:r w:rsidRPr="00F407C4">
        <w:rPr>
          <w:rFonts w:ascii="Times New Roman" w:hAnsi="Times New Roman" w:cs="Times New Roman"/>
          <w:sz w:val="24"/>
          <w:szCs w:val="24"/>
        </w:rPr>
        <w:t xml:space="preserve"> Hence ribä includes both usury and interest as used in modern commercial terminology.</w:t>
      </w:r>
      <w:r w:rsidRPr="00F407C4">
        <w:rPr>
          <w:rStyle w:val="FootnoteReference"/>
          <w:rFonts w:ascii="Times New Roman" w:hAnsi="Times New Roman" w:cs="Times New Roman"/>
          <w:sz w:val="24"/>
          <w:szCs w:val="24"/>
        </w:rPr>
        <w:footnoteReference w:id="52"/>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Imam Sarakhsi, Al-Shirbīnī  and „Imārah define ribā as an excess from initial capital that required in a business transaction without any equivalent counter value that justified by sharīʿah. The additional sense in the context of ribā is the extra money earned from the capital in a way that is not justified by sharīʿah, whether it is small or big amount as indicated in the Qur’an.</w:t>
      </w:r>
      <w:r w:rsidRPr="00F407C4">
        <w:rPr>
          <w:rStyle w:val="FootnoteReference"/>
          <w:rFonts w:ascii="Times New Roman" w:hAnsi="Times New Roman" w:cs="Times New Roman"/>
          <w:sz w:val="24"/>
          <w:szCs w:val="24"/>
        </w:rPr>
        <w:footnoteReference w:id="53"/>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According to Attia, 'ribä is one of the most significant financial prohibitions under the Shariah.</w:t>
      </w:r>
      <w:r w:rsidRPr="00F407C4">
        <w:rPr>
          <w:rStyle w:val="FootnoteReference"/>
          <w:rFonts w:ascii="Times New Roman" w:hAnsi="Times New Roman" w:cs="Times New Roman"/>
          <w:sz w:val="24"/>
          <w:szCs w:val="24"/>
        </w:rPr>
        <w:footnoteReference w:id="54"/>
      </w:r>
      <w:r w:rsidRPr="00F407C4">
        <w:rPr>
          <w:rFonts w:ascii="Times New Roman" w:hAnsi="Times New Roman" w:cs="Times New Roman"/>
          <w:sz w:val="24"/>
          <w:szCs w:val="24"/>
        </w:rPr>
        <w:t>. The rationale for the prohibition if riba can be traced to</w:t>
      </w:r>
    </w:p>
    <w:p w:rsidR="00716884" w:rsidRPr="00F407C4" w:rsidRDefault="00716884" w:rsidP="003E06C8">
      <w:pPr>
        <w:spacing w:line="240" w:lineRule="auto"/>
        <w:ind w:left="1440"/>
        <w:jc w:val="both"/>
        <w:rPr>
          <w:rFonts w:ascii="Times New Roman" w:hAnsi="Times New Roman" w:cs="Times New Roman"/>
          <w:i/>
          <w:sz w:val="24"/>
          <w:szCs w:val="24"/>
        </w:rPr>
      </w:pPr>
      <w:r w:rsidRPr="003E06C8">
        <w:rPr>
          <w:rFonts w:ascii="Times New Roman" w:hAnsi="Times New Roman" w:cs="Times New Roman"/>
        </w:rPr>
        <w:t>O Believers! Do not consume riba, doubling and redoubling, and fear God so that you may prosper</w:t>
      </w:r>
      <w:r w:rsidR="003E06C8" w:rsidRPr="003E06C8">
        <w:rPr>
          <w:rFonts w:ascii="Times New Roman" w:hAnsi="Times New Roman" w:cs="Times New Roman"/>
        </w:rPr>
        <w:t>.</w:t>
      </w:r>
      <w:r w:rsidRPr="00F407C4">
        <w:rPr>
          <w:rStyle w:val="FootnoteReference"/>
          <w:rFonts w:ascii="Times New Roman" w:hAnsi="Times New Roman" w:cs="Times New Roman"/>
          <w:i/>
          <w:sz w:val="24"/>
          <w:szCs w:val="24"/>
        </w:rPr>
        <w:footnoteReference w:id="55"/>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Drawing upon Tabari, Abdullah Saeed enunciates:</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Explaining the meaning of the term used in verse 3:130, Tabari (d.310 AH), the well known commentator on the Qur'an, says:</w:t>
      </w:r>
    </w:p>
    <w:p w:rsidR="00716884" w:rsidRPr="003E06C8" w:rsidRDefault="00716884" w:rsidP="003E06C8">
      <w:pPr>
        <w:spacing w:line="240" w:lineRule="auto"/>
        <w:ind w:left="1440"/>
        <w:jc w:val="both"/>
        <w:rPr>
          <w:rFonts w:ascii="Times New Roman" w:hAnsi="Times New Roman" w:cs="Times New Roman"/>
        </w:rPr>
      </w:pPr>
      <w:r w:rsidRPr="003E06C8">
        <w:rPr>
          <w:rFonts w:ascii="Times New Roman" w:hAnsi="Times New Roman" w:cs="Times New Roman"/>
        </w:rPr>
        <w:t>Do not consume riba after having professed Islam as you have been consuming it before Islam. The way pre-Islamic2 Arabs used to consume riba was that one of them would have a debt repayable on a specific date. When that date came the creditor would demand repayment from the debtor. The latter would say, 'Defer the repayment of my debt; I will add to your wealth.' This is the riba which was doubled and redoubled.</w:t>
      </w:r>
      <w:r w:rsidRPr="003E06C8">
        <w:rPr>
          <w:rStyle w:val="FootnoteReference"/>
          <w:rFonts w:ascii="Times New Roman" w:hAnsi="Times New Roman" w:cs="Times New Roman"/>
        </w:rPr>
        <w:footnoteReference w:id="56"/>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lastRenderedPageBreak/>
        <w:t xml:space="preserve"> Imam Malik (d. 179 AH), Imam ShafTi (d. 204 AH), Ibn Hanbal (d. 241 AH), Tabari (d. 310 AH), al-Baghawi (d. 510 AH), Ibn al-Arabi (d. 543 AH), Zamakhshari (d. 549 AH), al-Baydawi (d. 691 AH), and Jalaluddin Suyuti (d. 911 AH), have all described riba in the same manner</w:t>
      </w:r>
      <w:r w:rsidRPr="00F407C4">
        <w:rPr>
          <w:rStyle w:val="FootnoteReference"/>
          <w:rFonts w:ascii="Times New Roman" w:hAnsi="Times New Roman" w:cs="Times New Roman"/>
          <w:sz w:val="24"/>
          <w:szCs w:val="24"/>
        </w:rPr>
        <w:footnoteReference w:id="57"/>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Ribā is forbidden in the Qur’an, the tradition of the Prophet (pbuh) (Sunnah), and consensus (’ijma). In the Qur’an, the strongest prohibition is provided in the verses [2:275– 279]:  </w:t>
      </w:r>
    </w:p>
    <w:p w:rsidR="00716884" w:rsidRPr="000C7899" w:rsidRDefault="00716884" w:rsidP="000C7899">
      <w:pPr>
        <w:spacing w:line="240" w:lineRule="auto"/>
        <w:ind w:left="1440"/>
        <w:jc w:val="both"/>
        <w:rPr>
          <w:rFonts w:ascii="Times New Roman" w:hAnsi="Times New Roman" w:cs="Times New Roman"/>
        </w:rPr>
      </w:pPr>
      <w:r w:rsidRPr="000C7899">
        <w:rPr>
          <w:rFonts w:ascii="Times New Roman" w:hAnsi="Times New Roman" w:cs="Times New Roman"/>
        </w:rPr>
        <w:t xml:space="preserve">Those who devour usury (ribā) will not stand except as stands one whom the Evil One by his touch hath driven to madness. That is because they say: ’trade is like ribā’, but Allah hath permitted trade and forbidden ribā. Those who after receiving direction from their Lord desist shall be pardoned for the past; their case is for God (to judge); but those who repeat (the offense) are companions of the fire. They will abide therein (forever). God will deprive usury of all blessing, and He will give increase for deeds of charity. For He loves not creatures ungrateful and wicked. O ye who believe! Fear God, and give up what remains of your demand for ribā if ye are indeed believers. If ye do not [give up ribā], take notice of a war from God and His Apostle; but if ye turn back ye shall have your capital sums, </w:t>
      </w:r>
      <w:r w:rsidR="000C7899" w:rsidRPr="000C7899">
        <w:rPr>
          <w:rFonts w:ascii="Times New Roman" w:hAnsi="Times New Roman" w:cs="Times New Roman"/>
        </w:rPr>
        <w:t>without increase or diminution.</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There are many proofs of the prohibition of ribā in the Sunnah of the Prophet (pbuh). Among them is the following: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From Abu Huraira: </w:t>
      </w:r>
    </w:p>
    <w:p w:rsidR="00716884" w:rsidRPr="00F407C4" w:rsidRDefault="00716884" w:rsidP="00833A19">
      <w:pPr>
        <w:spacing w:line="240" w:lineRule="auto"/>
        <w:ind w:left="1440"/>
        <w:jc w:val="both"/>
        <w:rPr>
          <w:rFonts w:ascii="Times New Roman" w:hAnsi="Times New Roman" w:cs="Times New Roman"/>
          <w:i/>
          <w:sz w:val="24"/>
          <w:szCs w:val="24"/>
        </w:rPr>
      </w:pPr>
      <w:r w:rsidRPr="00833A19">
        <w:rPr>
          <w:rFonts w:ascii="Times New Roman" w:hAnsi="Times New Roman" w:cs="Times New Roman"/>
        </w:rPr>
        <w:t>The Prophet (pbuh) said, "Avoid the seven great destructive sins." They (the people!) asked, "O Allah's Apostle! What are they?" He said, "To join partners in worship with Allah; to practice sorcery; to kill the life which Allah has forbidden except for a just cause (according to Islamic law); to eat up usury (Ribā), to eat up the property of an orphan; to give one's back to the enemy and fleeing from the battle-field at the time of fighting and to accuse chaste women who never even think of anything touching chastit</w:t>
      </w:r>
      <w:r w:rsidR="00833A19" w:rsidRPr="00833A19">
        <w:rPr>
          <w:rFonts w:ascii="Times New Roman" w:hAnsi="Times New Roman" w:cs="Times New Roman"/>
        </w:rPr>
        <w:t>y and are good believers.</w:t>
      </w:r>
      <w:r w:rsidRPr="00F407C4">
        <w:rPr>
          <w:rFonts w:ascii="Times New Roman" w:hAnsi="Times New Roman" w:cs="Times New Roman"/>
          <w:i/>
          <w:sz w:val="24"/>
          <w:szCs w:val="24"/>
        </w:rPr>
        <w:t xml:space="preserve"> (Bukhari &amp; Nasai)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Jabir reported: </w:t>
      </w:r>
    </w:p>
    <w:p w:rsidR="00716884" w:rsidRPr="00833A19" w:rsidRDefault="00716884" w:rsidP="00833A19">
      <w:pPr>
        <w:spacing w:line="240" w:lineRule="auto"/>
        <w:ind w:left="1440"/>
        <w:jc w:val="both"/>
        <w:rPr>
          <w:rFonts w:ascii="Times New Roman" w:hAnsi="Times New Roman" w:cs="Times New Roman"/>
        </w:rPr>
      </w:pPr>
      <w:r w:rsidRPr="00833A19">
        <w:rPr>
          <w:rFonts w:ascii="Times New Roman" w:hAnsi="Times New Roman" w:cs="Times New Roman"/>
        </w:rPr>
        <w:t xml:space="preserve">Allah's Messenger (pbuh) cursed the accepter of interest and its payer, and one who records it, and the two witnesses, and he said: They are all equal. (Muslim)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From Ibn Masud: </w:t>
      </w:r>
    </w:p>
    <w:p w:rsidR="00716884" w:rsidRPr="00F407C4" w:rsidRDefault="00716884" w:rsidP="00833A19">
      <w:pPr>
        <w:spacing w:line="240" w:lineRule="auto"/>
        <w:ind w:left="1440"/>
        <w:jc w:val="both"/>
        <w:rPr>
          <w:rFonts w:ascii="Times New Roman" w:hAnsi="Times New Roman" w:cs="Times New Roman"/>
          <w:i/>
          <w:sz w:val="24"/>
          <w:szCs w:val="24"/>
        </w:rPr>
      </w:pPr>
      <w:r w:rsidRPr="00833A19">
        <w:rPr>
          <w:rFonts w:ascii="Times New Roman" w:hAnsi="Times New Roman" w:cs="Times New Roman"/>
        </w:rPr>
        <w:lastRenderedPageBreak/>
        <w:t>The Prophet (pbuh) said: “There are seventy three different types of ribā, the least of which is equivalent to bedding one’s mother, and the worst of which is equivalent to de</w:t>
      </w:r>
      <w:r w:rsidR="00833A19" w:rsidRPr="00833A19">
        <w:rPr>
          <w:rFonts w:ascii="Times New Roman" w:hAnsi="Times New Roman" w:cs="Times New Roman"/>
        </w:rPr>
        <w:t>stroying the honor of a Muslim.</w:t>
      </w:r>
      <w:r w:rsidRPr="00833A19">
        <w:rPr>
          <w:rFonts w:ascii="Times New Roman" w:hAnsi="Times New Roman" w:cs="Times New Roman"/>
          <w:sz w:val="24"/>
          <w:szCs w:val="24"/>
        </w:rPr>
        <w:t xml:space="preserve"> (Al-Hakim)</w:t>
      </w:r>
      <w:r w:rsidRPr="00F407C4">
        <w:rPr>
          <w:rFonts w:ascii="Times New Roman" w:hAnsi="Times New Roman" w:cs="Times New Roman"/>
          <w:i/>
          <w:sz w:val="24"/>
          <w:szCs w:val="24"/>
        </w:rPr>
        <w:t xml:space="preserve"> </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From Abu Sa‘id al-Khudri: </w:t>
      </w:r>
    </w:p>
    <w:p w:rsidR="00716884" w:rsidRPr="00833A19" w:rsidRDefault="00716884" w:rsidP="00833A19">
      <w:pPr>
        <w:spacing w:line="240" w:lineRule="auto"/>
        <w:ind w:left="1440"/>
        <w:jc w:val="both"/>
        <w:rPr>
          <w:rFonts w:ascii="Times New Roman" w:hAnsi="Times New Roman" w:cs="Times New Roman"/>
          <w:sz w:val="24"/>
          <w:szCs w:val="24"/>
        </w:rPr>
      </w:pPr>
      <w:r w:rsidRPr="00833A19">
        <w:rPr>
          <w:rFonts w:ascii="Times New Roman" w:hAnsi="Times New Roman" w:cs="Times New Roman"/>
        </w:rPr>
        <w:t>The Prophet (pbuh) said: “Do not sell gold for gold except when it is like for like, and do not increase one over the other; do not sell silver for silver except when it is like for like, and do not increase one over the other; and do not sell what is away [from among these] fo</w:t>
      </w:r>
      <w:r w:rsidR="00833A19" w:rsidRPr="00833A19">
        <w:rPr>
          <w:rFonts w:ascii="Times New Roman" w:hAnsi="Times New Roman" w:cs="Times New Roman"/>
        </w:rPr>
        <w:t>r what is ready.</w:t>
      </w:r>
      <w:r w:rsidRPr="00833A19">
        <w:rPr>
          <w:rFonts w:ascii="Times New Roman" w:hAnsi="Times New Roman" w:cs="Times New Roman"/>
        </w:rPr>
        <w:t xml:space="preserve"> </w:t>
      </w:r>
      <w:r w:rsidRPr="00833A19">
        <w:rPr>
          <w:rFonts w:ascii="Times New Roman" w:hAnsi="Times New Roman" w:cs="Times New Roman"/>
          <w:sz w:val="24"/>
          <w:szCs w:val="24"/>
        </w:rPr>
        <w:t>(Bukhari and Muslim)</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Any Islamic contract can be rendered as Ribā if it losses it’s substantial element. Some examples include, a Mudarabah contract, whereby the Mudarib or the financial manager guarantees the capital invested by the Rabb-al-Maal.  Likewise, in a Musharakah contract, whereby one partner guarantees the capital of another partner, the partnership contract becomes void and Ribā is constituted. Since the substance for both of those contracts is profit and risk sharing, rather than risk shifting.</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There exists a controversy amongst scholars as to the divisions of riba with some classifying same into two i.e. ribā al-nasiah and ribā al-fadhl</w:t>
      </w:r>
      <w:r w:rsidRPr="00F407C4">
        <w:rPr>
          <w:rStyle w:val="FootnoteReference"/>
          <w:rFonts w:ascii="Times New Roman" w:hAnsi="Times New Roman" w:cs="Times New Roman"/>
          <w:sz w:val="24"/>
          <w:szCs w:val="24"/>
        </w:rPr>
        <w:footnoteReference w:id="58"/>
      </w:r>
      <w:r w:rsidRPr="00F407C4">
        <w:rPr>
          <w:rFonts w:ascii="Times New Roman" w:hAnsi="Times New Roman" w:cs="Times New Roman"/>
          <w:sz w:val="24"/>
          <w:szCs w:val="24"/>
        </w:rPr>
        <w:t xml:space="preserve">  while some classify same into three</w:t>
      </w:r>
      <w:r w:rsidRPr="00F407C4">
        <w:rPr>
          <w:rStyle w:val="FootnoteReference"/>
          <w:rFonts w:ascii="Times New Roman" w:hAnsi="Times New Roman" w:cs="Times New Roman"/>
          <w:sz w:val="24"/>
          <w:szCs w:val="24"/>
        </w:rPr>
        <w:footnoteReference w:id="59"/>
      </w:r>
      <w:r w:rsidRPr="00F407C4">
        <w:rPr>
          <w:rFonts w:ascii="Times New Roman" w:hAnsi="Times New Roman" w:cs="Times New Roman"/>
          <w:sz w:val="24"/>
          <w:szCs w:val="24"/>
        </w:rPr>
        <w:t xml:space="preserve"> with the addition of ribā al-yad.</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Ribā al-Nasīah (riba in credit) occurs when there is delay in the settlement or payment for one or both counter values as the interest charged on loans in conventional bank</w:t>
      </w:r>
      <w:r w:rsidRPr="00F407C4">
        <w:rPr>
          <w:rStyle w:val="FootnoteReference"/>
          <w:rFonts w:ascii="Times New Roman" w:hAnsi="Times New Roman" w:cs="Times New Roman"/>
          <w:sz w:val="24"/>
          <w:szCs w:val="24"/>
        </w:rPr>
        <w:footnoteReference w:id="60"/>
      </w:r>
      <w:r w:rsidRPr="00F407C4">
        <w:rPr>
          <w:rFonts w:ascii="Times New Roman" w:hAnsi="Times New Roman" w:cs="Times New Roman"/>
          <w:sz w:val="24"/>
          <w:szCs w:val="24"/>
        </w:rPr>
        <w:t>. Ribā al-Fadh (riba in surplus) occurs when a sale with a surplus or excess charged in the exchange of a specific commodity in barter transactions for example changing a latest model of gold of 100 gram with an old model of 110 gram.</w:t>
      </w:r>
      <w:r w:rsidRPr="00F407C4">
        <w:rPr>
          <w:rStyle w:val="FootnoteReference"/>
          <w:rFonts w:ascii="Times New Roman" w:hAnsi="Times New Roman" w:cs="Times New Roman"/>
          <w:sz w:val="24"/>
          <w:szCs w:val="24"/>
        </w:rPr>
        <w:footnoteReference w:id="61"/>
      </w:r>
      <w:r w:rsidRPr="00F407C4">
        <w:rPr>
          <w:rFonts w:ascii="Times New Roman" w:hAnsi="Times New Roman" w:cs="Times New Roman"/>
          <w:sz w:val="24"/>
          <w:szCs w:val="24"/>
        </w:rPr>
        <w:t xml:space="preserve"> Ribā al-yad. Is sale with deferment on both price and subject matter or one of them.</w:t>
      </w:r>
      <w:r w:rsidRPr="00F407C4">
        <w:rPr>
          <w:rStyle w:val="FootnoteReference"/>
          <w:rFonts w:ascii="Times New Roman" w:hAnsi="Times New Roman" w:cs="Times New Roman"/>
          <w:sz w:val="24"/>
          <w:szCs w:val="24"/>
        </w:rPr>
        <w:footnoteReference w:id="62"/>
      </w:r>
    </w:p>
    <w:p w:rsidR="00E6044E" w:rsidRDefault="00E6044E" w:rsidP="00F407C4">
      <w:pPr>
        <w:spacing w:line="360" w:lineRule="auto"/>
        <w:jc w:val="both"/>
        <w:rPr>
          <w:rFonts w:ascii="Times New Roman" w:hAnsi="Times New Roman" w:cs="Times New Roman"/>
          <w:b/>
          <w:sz w:val="24"/>
          <w:szCs w:val="24"/>
        </w:rPr>
      </w:pPr>
    </w:p>
    <w:p w:rsidR="00716884" w:rsidRPr="00F407C4" w:rsidRDefault="00662573" w:rsidP="00F407C4">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5.4</w:t>
      </w:r>
      <w:r>
        <w:rPr>
          <w:rFonts w:ascii="Times New Roman" w:hAnsi="Times New Roman" w:cs="Times New Roman"/>
          <w:b/>
          <w:sz w:val="24"/>
          <w:szCs w:val="24"/>
        </w:rPr>
        <w:tab/>
      </w:r>
      <w:r w:rsidR="00716884" w:rsidRPr="00F407C4">
        <w:rPr>
          <w:rFonts w:ascii="Times New Roman" w:hAnsi="Times New Roman" w:cs="Times New Roman"/>
          <w:b/>
          <w:sz w:val="24"/>
          <w:szCs w:val="24"/>
        </w:rPr>
        <w:t xml:space="preserve">Lack of Pension </w:t>
      </w:r>
      <w:r w:rsidRPr="00F407C4">
        <w:rPr>
          <w:rFonts w:ascii="Times New Roman" w:hAnsi="Times New Roman" w:cs="Times New Roman"/>
          <w:b/>
          <w:sz w:val="24"/>
          <w:szCs w:val="24"/>
        </w:rPr>
        <w:t>Shari’ah</w:t>
      </w:r>
      <w:r w:rsidR="00716884" w:rsidRPr="00F407C4">
        <w:rPr>
          <w:rFonts w:ascii="Times New Roman" w:hAnsi="Times New Roman" w:cs="Times New Roman"/>
          <w:b/>
          <w:sz w:val="24"/>
          <w:szCs w:val="24"/>
        </w:rPr>
        <w:t xml:space="preserve"> Advisory Board</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Over the years the management of pension scheme in Nigeria has been inundated by multiple and diverse problems such as inadequate funding, inadequate subventions and grants, poor documentation and filing in pension offices, direct release of pension funds to underwriters, accumulated arrears of pensioners, inability to determine appropriate investment portfolios, lack of accountability, corruption and embezzlement of funds. Others include cumbersome clearance procedures, incompetence and inexperience of pension staff added to poor human relations, lack of etiquette and simple courtesy.</w:t>
      </w:r>
      <w:r w:rsidR="00833A19">
        <w:rPr>
          <w:rFonts w:ascii="Times New Roman" w:hAnsi="Times New Roman" w:cs="Times New Roman"/>
          <w:sz w:val="24"/>
          <w:szCs w:val="24"/>
        </w:rPr>
        <w:t xml:space="preserve"> </w:t>
      </w:r>
      <w:r w:rsidRPr="00F407C4">
        <w:rPr>
          <w:rFonts w:ascii="Times New Roman" w:hAnsi="Times New Roman" w:cs="Times New Roman"/>
          <w:sz w:val="24"/>
          <w:szCs w:val="24"/>
        </w:rPr>
        <w:t xml:space="preserve">However, from the Islamic oriented perspective, it would be imperative to include as one of the challenges to the administration of pension scheme in Nigeria is the lack of </w:t>
      </w:r>
      <w:r w:rsidR="00833A19"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Pension Advisory Board.</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A Shari'ah board is an independent body entrusted with directing, reviewing, and supervising the activities of Islamic financial institutions for the purpose of Shari'ah compliance</w:t>
      </w:r>
      <w:r w:rsidRPr="00F407C4">
        <w:rPr>
          <w:rStyle w:val="FootnoteReference"/>
          <w:rFonts w:ascii="Times New Roman" w:hAnsi="Times New Roman" w:cs="Times New Roman"/>
          <w:sz w:val="24"/>
          <w:szCs w:val="24"/>
        </w:rPr>
        <w:footnoteReference w:id="63"/>
      </w:r>
      <w:r w:rsidRPr="00F407C4">
        <w:rPr>
          <w:rFonts w:ascii="Times New Roman" w:hAnsi="Times New Roman" w:cs="Times New Roman"/>
          <w:sz w:val="24"/>
          <w:szCs w:val="24"/>
        </w:rPr>
        <w:t>. Shari'ah governance is considered a unique kind of governance in financial architecture, as it is concerned with the religious aspects of the overall activities of Islamic financial institutions as compared to the conventional concept of corporate governance. The institution of Shari'ah board is one of the most important components of corporate governance of Islamic financial institutions. The Shari'ah board has profound influence on the day-to-day practice of finance in providing advisory and consultative services.</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 xml:space="preserve"> The board is expected to be an independent body of experts knowledgeable in fiqh al-muamalat and entrusted with the duty of directing, reviewing and supervising the activities of the Commission, to insure Shari'ah compliance. The Shari'ah board reviews transactions and actions of Commission to ensure their adherence to Islamic law. It is the responsibility of the Shari'ah board to work with management to ensure that everything relating to the financial product or service is in compliance with the principles and precepts of the Shari'ah and, equally as important, to ensure that there is sufficient transparency in the Shari'ah process so that the product or service is understood by consumers or investors to be Shari'ah compliant.</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lastRenderedPageBreak/>
        <w:t>The Pension Reform Act established a body called National Pension Commission to serve as the major regulatory organ to regulate all the pension system in the country</w:t>
      </w:r>
      <w:r w:rsidRPr="00F407C4">
        <w:rPr>
          <w:rStyle w:val="FootnoteReference"/>
          <w:rFonts w:ascii="Times New Roman" w:hAnsi="Times New Roman" w:cs="Times New Roman"/>
          <w:sz w:val="24"/>
          <w:szCs w:val="24"/>
        </w:rPr>
        <w:footnoteReference w:id="64"/>
      </w:r>
      <w:r w:rsidRPr="00F407C4">
        <w:rPr>
          <w:rFonts w:ascii="Times New Roman" w:hAnsi="Times New Roman" w:cs="Times New Roman"/>
          <w:sz w:val="24"/>
          <w:szCs w:val="24"/>
        </w:rPr>
        <w:t>.  The scheme provides that the National Pension Commission (PenCom) shall regulate, supervise and ensure the effective administration of pension matters in Nigeria</w:t>
      </w:r>
      <w:r w:rsidRPr="00F407C4">
        <w:rPr>
          <w:rStyle w:val="FootnoteReference"/>
          <w:rFonts w:ascii="Times New Roman" w:hAnsi="Times New Roman" w:cs="Times New Roman"/>
          <w:sz w:val="24"/>
          <w:szCs w:val="24"/>
        </w:rPr>
        <w:footnoteReference w:id="65"/>
      </w:r>
      <w:r w:rsidRPr="00F407C4">
        <w:rPr>
          <w:rFonts w:ascii="Times New Roman" w:hAnsi="Times New Roman" w:cs="Times New Roman"/>
          <w:sz w:val="24"/>
          <w:szCs w:val="24"/>
        </w:rPr>
        <w:t>. Section 24 of PRA 2004 states that the powers of the Commission shall be to formulate, direct and oversee the overall policy on pension matters in Nigeria</w:t>
      </w:r>
      <w:r w:rsidRPr="00F407C4">
        <w:rPr>
          <w:rStyle w:val="FootnoteReference"/>
          <w:rFonts w:ascii="Times New Roman" w:hAnsi="Times New Roman" w:cs="Times New Roman"/>
          <w:sz w:val="24"/>
          <w:szCs w:val="24"/>
        </w:rPr>
        <w:footnoteReference w:id="66"/>
      </w:r>
      <w:r w:rsidRPr="00F407C4">
        <w:rPr>
          <w:rFonts w:ascii="Times New Roman" w:hAnsi="Times New Roman" w:cs="Times New Roman"/>
          <w:sz w:val="24"/>
          <w:szCs w:val="24"/>
        </w:rPr>
        <w:t>; fix the terms and conditions of service including remuneration of the employees of the Commission</w:t>
      </w:r>
      <w:r w:rsidRPr="00F407C4">
        <w:rPr>
          <w:rStyle w:val="FootnoteReference"/>
          <w:rFonts w:ascii="Times New Roman" w:hAnsi="Times New Roman" w:cs="Times New Roman"/>
          <w:sz w:val="24"/>
          <w:szCs w:val="24"/>
        </w:rPr>
        <w:footnoteReference w:id="67"/>
      </w:r>
      <w:r w:rsidRPr="00F407C4">
        <w:rPr>
          <w:rFonts w:ascii="Times New Roman" w:hAnsi="Times New Roman" w:cs="Times New Roman"/>
          <w:sz w:val="24"/>
          <w:szCs w:val="24"/>
        </w:rPr>
        <w:t>; request or call for information from any employer or pension administrator or custodian or any person or institution on matters relating to retirement benefit</w:t>
      </w:r>
      <w:r w:rsidRPr="00F407C4">
        <w:rPr>
          <w:rStyle w:val="FootnoteReference"/>
          <w:rFonts w:ascii="Times New Roman" w:hAnsi="Times New Roman" w:cs="Times New Roman"/>
          <w:sz w:val="24"/>
          <w:szCs w:val="24"/>
        </w:rPr>
        <w:footnoteReference w:id="68"/>
      </w:r>
      <w:r w:rsidRPr="00F407C4">
        <w:rPr>
          <w:rFonts w:ascii="Times New Roman" w:hAnsi="Times New Roman" w:cs="Times New Roman"/>
          <w:sz w:val="24"/>
          <w:szCs w:val="24"/>
        </w:rPr>
        <w:t>; charge and collect such fees, levies or penalties, as may be specified by the Commission</w:t>
      </w:r>
      <w:r w:rsidRPr="00F407C4">
        <w:rPr>
          <w:rStyle w:val="FootnoteReference"/>
          <w:rFonts w:ascii="Times New Roman" w:hAnsi="Times New Roman" w:cs="Times New Roman"/>
          <w:sz w:val="24"/>
          <w:szCs w:val="24"/>
        </w:rPr>
        <w:footnoteReference w:id="69"/>
      </w:r>
      <w:r w:rsidRPr="00F407C4">
        <w:rPr>
          <w:rFonts w:ascii="Times New Roman" w:hAnsi="Times New Roman" w:cs="Times New Roman"/>
          <w:sz w:val="24"/>
          <w:szCs w:val="24"/>
        </w:rPr>
        <w:t>; establish and acquire offices and other premises for the use of the Commission in such locations as it may deem necessary for the proper performance of its functions under this Act; establish standards, rules and regulations for the management of pension funds under this Act;</w:t>
      </w:r>
      <w:r w:rsidRPr="00F407C4">
        <w:rPr>
          <w:rStyle w:val="FootnoteReference"/>
          <w:rFonts w:ascii="Times New Roman" w:hAnsi="Times New Roman" w:cs="Times New Roman"/>
          <w:sz w:val="24"/>
          <w:szCs w:val="24"/>
        </w:rPr>
        <w:footnoteReference w:id="70"/>
      </w:r>
      <w:r w:rsidRPr="00F407C4">
        <w:rPr>
          <w:rFonts w:ascii="Times New Roman" w:hAnsi="Times New Roman" w:cs="Times New Roman"/>
          <w:sz w:val="24"/>
          <w:szCs w:val="24"/>
        </w:rPr>
        <w:t xml:space="preserve"> investigate any pension fund administrator, custodian or other party involved in the management of pension funds</w:t>
      </w:r>
      <w:r w:rsidRPr="00F407C4">
        <w:rPr>
          <w:rStyle w:val="FootnoteReference"/>
          <w:rFonts w:ascii="Times New Roman" w:hAnsi="Times New Roman" w:cs="Times New Roman"/>
          <w:sz w:val="24"/>
          <w:szCs w:val="24"/>
        </w:rPr>
        <w:footnoteReference w:id="71"/>
      </w:r>
      <w:r w:rsidRPr="00F407C4">
        <w:rPr>
          <w:rFonts w:ascii="Times New Roman" w:hAnsi="Times New Roman" w:cs="Times New Roman"/>
          <w:sz w:val="24"/>
          <w:szCs w:val="24"/>
        </w:rPr>
        <w:t>; Impose administrative sanctions or fines on erring employers or pension fund administrators or custodians;</w:t>
      </w:r>
      <w:r w:rsidRPr="00F407C4">
        <w:rPr>
          <w:rStyle w:val="FootnoteReference"/>
          <w:rFonts w:ascii="Times New Roman" w:hAnsi="Times New Roman" w:cs="Times New Roman"/>
          <w:sz w:val="24"/>
          <w:szCs w:val="24"/>
        </w:rPr>
        <w:footnoteReference w:id="72"/>
      </w:r>
      <w:r w:rsidRPr="00F407C4">
        <w:rPr>
          <w:rFonts w:ascii="Times New Roman" w:hAnsi="Times New Roman" w:cs="Times New Roman"/>
          <w:sz w:val="24"/>
          <w:szCs w:val="24"/>
        </w:rPr>
        <w:t xml:space="preserve"> Order the transfer of management or custody of all pension funds or assets being managed by a pension fund administrator or held by a custodian whose license has been revoked under this Act or subject to insolvency proceedings to another pension fund administration or custodian, as the case may be</w:t>
      </w:r>
      <w:r w:rsidRPr="00F407C4">
        <w:rPr>
          <w:rStyle w:val="FootnoteReference"/>
          <w:rFonts w:ascii="Times New Roman" w:hAnsi="Times New Roman" w:cs="Times New Roman"/>
          <w:sz w:val="24"/>
          <w:szCs w:val="24"/>
        </w:rPr>
        <w:footnoteReference w:id="73"/>
      </w:r>
      <w:r w:rsidRPr="00F407C4">
        <w:rPr>
          <w:rFonts w:ascii="Times New Roman" w:hAnsi="Times New Roman" w:cs="Times New Roman"/>
          <w:sz w:val="24"/>
          <w:szCs w:val="24"/>
        </w:rPr>
        <w:t>; move pension funds and assets from one PFA or PFC to another when the Commission believes that funds and assets are endangered</w:t>
      </w:r>
      <w:r w:rsidRPr="00F407C4">
        <w:rPr>
          <w:rStyle w:val="FootnoteReference"/>
          <w:rFonts w:ascii="Times New Roman" w:hAnsi="Times New Roman" w:cs="Times New Roman"/>
          <w:sz w:val="24"/>
          <w:szCs w:val="24"/>
        </w:rPr>
        <w:footnoteReference w:id="74"/>
      </w:r>
      <w:r w:rsidRPr="00F407C4">
        <w:rPr>
          <w:rFonts w:ascii="Times New Roman" w:hAnsi="Times New Roman" w:cs="Times New Roman"/>
          <w:sz w:val="24"/>
          <w:szCs w:val="24"/>
        </w:rPr>
        <w:t>; appoint management committee in the resolution of failing pension operators</w:t>
      </w:r>
      <w:r w:rsidRPr="00F407C4">
        <w:rPr>
          <w:rStyle w:val="FootnoteReference"/>
          <w:rFonts w:ascii="Times New Roman" w:hAnsi="Times New Roman" w:cs="Times New Roman"/>
          <w:sz w:val="24"/>
          <w:szCs w:val="24"/>
        </w:rPr>
        <w:footnoteReference w:id="75"/>
      </w:r>
      <w:r w:rsidRPr="00F407C4">
        <w:rPr>
          <w:rFonts w:ascii="Times New Roman" w:hAnsi="Times New Roman" w:cs="Times New Roman"/>
          <w:sz w:val="24"/>
          <w:szCs w:val="24"/>
        </w:rPr>
        <w:t>; accredit any person, body corporate or institution that engages in any activity relating to pension matters in Nigeria pursuant to this act;</w:t>
      </w:r>
      <w:r w:rsidRPr="00F407C4">
        <w:rPr>
          <w:rStyle w:val="FootnoteReference"/>
          <w:rFonts w:ascii="Times New Roman" w:hAnsi="Times New Roman" w:cs="Times New Roman"/>
          <w:sz w:val="24"/>
          <w:szCs w:val="24"/>
        </w:rPr>
        <w:footnoteReference w:id="76"/>
      </w:r>
      <w:r w:rsidRPr="00F407C4">
        <w:rPr>
          <w:rFonts w:ascii="Times New Roman" w:hAnsi="Times New Roman" w:cs="Times New Roman"/>
          <w:sz w:val="24"/>
          <w:szCs w:val="24"/>
        </w:rPr>
        <w:t xml:space="preserve"> request the Accountant-General of the Federation to credit into the Federal </w:t>
      </w:r>
      <w:r w:rsidRPr="00F407C4">
        <w:rPr>
          <w:rFonts w:ascii="Times New Roman" w:hAnsi="Times New Roman" w:cs="Times New Roman"/>
          <w:sz w:val="24"/>
          <w:szCs w:val="24"/>
        </w:rPr>
        <w:lastRenderedPageBreak/>
        <w:t>Government Retirement Fund Account, Federal Government’s obligation for the redemption of the retirement benefits bonds issued to its employees for their past service</w:t>
      </w:r>
      <w:r w:rsidRPr="00F407C4">
        <w:rPr>
          <w:rStyle w:val="FootnoteReference"/>
          <w:rFonts w:ascii="Times New Roman" w:hAnsi="Times New Roman" w:cs="Times New Roman"/>
          <w:sz w:val="24"/>
          <w:szCs w:val="24"/>
        </w:rPr>
        <w:footnoteReference w:id="77"/>
      </w:r>
      <w:r w:rsidRPr="00F407C4">
        <w:rPr>
          <w:rFonts w:ascii="Times New Roman" w:hAnsi="Times New Roman" w:cs="Times New Roman"/>
          <w:sz w:val="24"/>
          <w:szCs w:val="24"/>
        </w:rPr>
        <w:t>; set up technical committees, working group and task force to assist the commission in the performance of its duties and functions under the Act</w:t>
      </w:r>
      <w:r w:rsidRPr="00F407C4">
        <w:rPr>
          <w:rStyle w:val="FootnoteReference"/>
          <w:rFonts w:ascii="Times New Roman" w:hAnsi="Times New Roman" w:cs="Times New Roman"/>
          <w:sz w:val="24"/>
          <w:szCs w:val="24"/>
        </w:rPr>
        <w:footnoteReference w:id="78"/>
      </w:r>
      <w:r w:rsidRPr="00F407C4">
        <w:rPr>
          <w:rFonts w:ascii="Times New Roman" w:hAnsi="Times New Roman" w:cs="Times New Roman"/>
          <w:sz w:val="24"/>
          <w:szCs w:val="24"/>
        </w:rPr>
        <w:t>; make changes to its structure with the approval of the board</w:t>
      </w:r>
      <w:r w:rsidRPr="00F407C4">
        <w:rPr>
          <w:rStyle w:val="FootnoteReference"/>
          <w:rFonts w:ascii="Times New Roman" w:hAnsi="Times New Roman" w:cs="Times New Roman"/>
          <w:sz w:val="24"/>
          <w:szCs w:val="24"/>
        </w:rPr>
        <w:footnoteReference w:id="79"/>
      </w:r>
      <w:r w:rsidRPr="00F407C4">
        <w:rPr>
          <w:rFonts w:ascii="Times New Roman" w:hAnsi="Times New Roman" w:cs="Times New Roman"/>
          <w:sz w:val="24"/>
          <w:szCs w:val="24"/>
        </w:rPr>
        <w:t>; And do such other things in its opinion are necessary to ensure the efficient performance of the functions of the Commission under this Act</w:t>
      </w:r>
      <w:r w:rsidRPr="00F407C4">
        <w:rPr>
          <w:rStyle w:val="FootnoteReference"/>
          <w:rFonts w:ascii="Times New Roman" w:hAnsi="Times New Roman" w:cs="Times New Roman"/>
          <w:sz w:val="24"/>
          <w:szCs w:val="24"/>
        </w:rPr>
        <w:footnoteReference w:id="80"/>
      </w:r>
      <w:r w:rsidRPr="00F407C4">
        <w:rPr>
          <w:rFonts w:ascii="Times New Roman" w:hAnsi="Times New Roman" w:cs="Times New Roman"/>
          <w:sz w:val="24"/>
          <w:szCs w:val="24"/>
        </w:rPr>
        <w:t>.</w:t>
      </w:r>
    </w:p>
    <w:p w:rsidR="00716884"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Parts VII of the PRA 2014 - Management and Staff of the Commission shall include a Director-General who shall be appointed by the president subject to ratification b y the Senate</w:t>
      </w:r>
      <w:r w:rsidRPr="00F407C4">
        <w:rPr>
          <w:rStyle w:val="FootnoteReference"/>
          <w:rFonts w:ascii="Times New Roman" w:hAnsi="Times New Roman" w:cs="Times New Roman"/>
          <w:sz w:val="24"/>
          <w:szCs w:val="24"/>
        </w:rPr>
        <w:footnoteReference w:id="81"/>
      </w:r>
      <w:r w:rsidRPr="00F407C4">
        <w:rPr>
          <w:rFonts w:ascii="Times New Roman" w:hAnsi="Times New Roman" w:cs="Times New Roman"/>
          <w:sz w:val="24"/>
          <w:szCs w:val="24"/>
        </w:rPr>
        <w:t>. Also the Commission shall have a Secretary and a Legal Adviser</w:t>
      </w:r>
      <w:r w:rsidRPr="00F407C4">
        <w:rPr>
          <w:rStyle w:val="FootnoteReference"/>
          <w:rFonts w:ascii="Times New Roman" w:hAnsi="Times New Roman" w:cs="Times New Roman"/>
          <w:sz w:val="24"/>
          <w:szCs w:val="24"/>
        </w:rPr>
        <w:footnoteReference w:id="82"/>
      </w:r>
    </w:p>
    <w:p w:rsidR="00F16ADF" w:rsidRPr="00F407C4" w:rsidRDefault="00716884" w:rsidP="00F407C4">
      <w:pPr>
        <w:spacing w:line="360" w:lineRule="auto"/>
        <w:jc w:val="both"/>
        <w:rPr>
          <w:rFonts w:ascii="Times New Roman" w:hAnsi="Times New Roman" w:cs="Times New Roman"/>
          <w:sz w:val="24"/>
          <w:szCs w:val="24"/>
        </w:rPr>
      </w:pPr>
      <w:r w:rsidRPr="00F407C4">
        <w:rPr>
          <w:rFonts w:ascii="Times New Roman" w:hAnsi="Times New Roman" w:cs="Times New Roman"/>
          <w:sz w:val="24"/>
          <w:szCs w:val="24"/>
        </w:rPr>
        <w:t>A critical looks at the provisions</w:t>
      </w:r>
      <w:r w:rsidRPr="00F407C4">
        <w:rPr>
          <w:rStyle w:val="FootnoteReference"/>
          <w:rFonts w:ascii="Times New Roman" w:hAnsi="Times New Roman" w:cs="Times New Roman"/>
          <w:sz w:val="24"/>
          <w:szCs w:val="24"/>
        </w:rPr>
        <w:footnoteReference w:id="83"/>
      </w:r>
      <w:r w:rsidRPr="00F407C4">
        <w:rPr>
          <w:rFonts w:ascii="Times New Roman" w:hAnsi="Times New Roman" w:cs="Times New Roman"/>
          <w:sz w:val="24"/>
          <w:szCs w:val="24"/>
        </w:rPr>
        <w:t xml:space="preserve"> of the Act as it relates to the establishment of the Commission, powers and Officers, shows glaring apathy towards adequate provision for the establishment of a </w:t>
      </w:r>
      <w:r w:rsidR="0033071F"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Advisory Board to advice the Commission on the provisions of the </w:t>
      </w:r>
      <w:r w:rsidR="0033071F"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as it relates to pension funds and its administration. The absence of </w:t>
      </w:r>
      <w:r w:rsidR="0033071F"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Advisory Board may have a dire effect in the protection of Muslim pensioners. Due to significant growth  of the number of Muslim pensioners and the fact that a measurable number of the country’s population are Muslims, there is the dire need for a </w:t>
      </w:r>
      <w:r w:rsidR="0033071F"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advisory board as it relates to pension activities. In particular, effective Shari'ah governance is crucial to strengthen the credibility of the Islamic financial system and ultimately protect the interest </w:t>
      </w:r>
      <w:r w:rsidR="0045471E">
        <w:rPr>
          <w:rFonts w:ascii="Times New Roman" w:hAnsi="Times New Roman" w:cs="Times New Roman"/>
          <w:sz w:val="24"/>
          <w:szCs w:val="24"/>
        </w:rPr>
        <w:t>of Muslim pensioners as a whole</w:t>
      </w:r>
      <w:r w:rsidRPr="00F407C4">
        <w:rPr>
          <w:rFonts w:ascii="Times New Roman" w:hAnsi="Times New Roman" w:cs="Times New Roman"/>
          <w:sz w:val="24"/>
          <w:szCs w:val="24"/>
        </w:rPr>
        <w:t xml:space="preserve">. Failure to provide efficient Shari'ah governance would inevitably lead to serious disruptions in provision of the </w:t>
      </w:r>
      <w:r w:rsidR="0045471E" w:rsidRPr="00F407C4">
        <w:rPr>
          <w:rFonts w:ascii="Times New Roman" w:hAnsi="Times New Roman" w:cs="Times New Roman"/>
          <w:sz w:val="24"/>
          <w:szCs w:val="24"/>
        </w:rPr>
        <w:t>Shari’ah</w:t>
      </w:r>
      <w:r w:rsidRPr="00F407C4">
        <w:rPr>
          <w:rFonts w:ascii="Times New Roman" w:hAnsi="Times New Roman" w:cs="Times New Roman"/>
          <w:sz w:val="24"/>
          <w:szCs w:val="24"/>
        </w:rPr>
        <w:t xml:space="preserve"> as it relates to the accumulation and use of wealth acquired.</w:t>
      </w:r>
    </w:p>
    <w:p w:rsidR="00716884" w:rsidRPr="00F407C4" w:rsidRDefault="00C21D20" w:rsidP="00F407C4">
      <w:pPr>
        <w:spacing w:line="360" w:lineRule="auto"/>
        <w:jc w:val="both"/>
        <w:rPr>
          <w:rFonts w:ascii="Times New Roman" w:hAnsi="Times New Roman" w:cs="Times New Roman"/>
          <w:b/>
          <w:sz w:val="24"/>
          <w:szCs w:val="24"/>
        </w:rPr>
      </w:pPr>
      <w:r>
        <w:rPr>
          <w:rFonts w:ascii="Times New Roman" w:hAnsi="Times New Roman" w:cs="Times New Roman"/>
          <w:b/>
          <w:sz w:val="24"/>
          <w:szCs w:val="24"/>
        </w:rPr>
        <w:t>6</w:t>
      </w:r>
      <w:r w:rsidR="008B5C59" w:rsidRPr="00F407C4">
        <w:rPr>
          <w:rFonts w:ascii="Times New Roman" w:hAnsi="Times New Roman" w:cs="Times New Roman"/>
          <w:b/>
          <w:sz w:val="24"/>
          <w:szCs w:val="24"/>
        </w:rPr>
        <w:t>. CONCLUSION AND RECOMMENDATION</w:t>
      </w:r>
      <w:r w:rsidR="00716884" w:rsidRPr="00F407C4">
        <w:rPr>
          <w:rFonts w:ascii="Times New Roman" w:hAnsi="Times New Roman" w:cs="Times New Roman"/>
          <w:b/>
          <w:sz w:val="24"/>
          <w:szCs w:val="24"/>
        </w:rPr>
        <w:t xml:space="preserve"> </w:t>
      </w:r>
    </w:p>
    <w:p w:rsidR="00716884" w:rsidRDefault="0045471E" w:rsidP="00922F56">
      <w:pPr>
        <w:spacing w:line="360" w:lineRule="auto"/>
        <w:jc w:val="both"/>
        <w:rPr>
          <w:rFonts w:ascii="Times New Roman" w:hAnsi="Times New Roman" w:cs="Times New Roman"/>
          <w:sz w:val="24"/>
          <w:szCs w:val="24"/>
        </w:rPr>
      </w:pPr>
      <w:r>
        <w:rPr>
          <w:rFonts w:ascii="Times New Roman" w:hAnsi="Times New Roman" w:cs="Times New Roman"/>
          <w:sz w:val="24"/>
          <w:szCs w:val="24"/>
        </w:rPr>
        <w:t>New contributory pension scheme has brought to</w:t>
      </w:r>
      <w:r w:rsidR="00922F56">
        <w:rPr>
          <w:rFonts w:ascii="Times New Roman" w:hAnsi="Times New Roman" w:cs="Times New Roman"/>
          <w:sz w:val="24"/>
          <w:szCs w:val="24"/>
        </w:rPr>
        <w:t xml:space="preserve"> the</w:t>
      </w:r>
      <w:r>
        <w:rPr>
          <w:rFonts w:ascii="Times New Roman" w:hAnsi="Times New Roman" w:cs="Times New Roman"/>
          <w:sz w:val="24"/>
          <w:szCs w:val="24"/>
        </w:rPr>
        <w:t xml:space="preserve"> fore a number of improvements </w:t>
      </w:r>
      <w:r w:rsidR="00922F56">
        <w:rPr>
          <w:rFonts w:ascii="Times New Roman" w:hAnsi="Times New Roman" w:cs="Times New Roman"/>
          <w:sz w:val="24"/>
          <w:szCs w:val="24"/>
        </w:rPr>
        <w:t xml:space="preserve">on the previous regimes. This becomes apparent in the aspect of ensuring safety of the funds and </w:t>
      </w:r>
      <w:r w:rsidR="00922F56">
        <w:rPr>
          <w:rFonts w:ascii="Times New Roman" w:hAnsi="Times New Roman" w:cs="Times New Roman"/>
          <w:sz w:val="24"/>
          <w:szCs w:val="24"/>
        </w:rPr>
        <w:lastRenderedPageBreak/>
        <w:t xml:space="preserve">ofcourse investment in profitable ventures as well as measures put in place to guide against abuse. However, administration of the pension funds gives one serious concern </w:t>
      </w:r>
      <w:r w:rsidR="00262959">
        <w:rPr>
          <w:rFonts w:ascii="Times New Roman" w:hAnsi="Times New Roman" w:cs="Times New Roman"/>
          <w:sz w:val="24"/>
          <w:szCs w:val="24"/>
        </w:rPr>
        <w:t xml:space="preserve">especially from Shari’ah compliance angle. The reason being that, the present framework for the new pension scheme offends a number of Islamic principles of responsible investment. </w:t>
      </w:r>
      <w:r w:rsidR="00FA085A">
        <w:rPr>
          <w:rFonts w:ascii="Times New Roman" w:hAnsi="Times New Roman" w:cs="Times New Roman"/>
          <w:sz w:val="24"/>
          <w:szCs w:val="24"/>
        </w:rPr>
        <w:t xml:space="preserve">The paper finds that Shari’ah dictates every aspect of Muslims including their funds’ spending and saving habit amidst the kind of investment their funds are subjected to. </w:t>
      </w:r>
      <w:r w:rsidR="00262959">
        <w:rPr>
          <w:rFonts w:ascii="Times New Roman" w:hAnsi="Times New Roman" w:cs="Times New Roman"/>
          <w:sz w:val="24"/>
          <w:szCs w:val="24"/>
        </w:rPr>
        <w:t>The study finds that in the administration of pension funds under the new pension scheme, Shari’ah issues of riba, maisir, gharar were not paid adequate attention to. This is owing to the fact that the new scheme does not make provision for Shari’ah Advisory Board in the administration. It is hereby recommended that the new pension scheme should be amended to make way for utilization of Shari’ah Advisory Board to avoid further violation of Shari’ah principles in the administration of pension funds</w:t>
      </w:r>
      <w:r w:rsidR="003A4341">
        <w:rPr>
          <w:rFonts w:ascii="Times New Roman" w:hAnsi="Times New Roman" w:cs="Times New Roman"/>
          <w:sz w:val="24"/>
          <w:szCs w:val="24"/>
        </w:rPr>
        <w:t>.</w:t>
      </w:r>
      <w:r w:rsidR="005074F3">
        <w:rPr>
          <w:rFonts w:ascii="Times New Roman" w:hAnsi="Times New Roman" w:cs="Times New Roman"/>
          <w:sz w:val="24"/>
          <w:szCs w:val="24"/>
        </w:rPr>
        <w:t xml:space="preserve"> Islamic finance industry should also be utilized with a view to investing pension funds in Shari’ah complaint ventures.</w:t>
      </w:r>
      <w:r w:rsidR="0026295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407C4" w:rsidRDefault="00F407C4" w:rsidP="00F407C4">
      <w:pPr>
        <w:spacing w:line="360" w:lineRule="auto"/>
        <w:rPr>
          <w:rFonts w:ascii="Times New Roman" w:hAnsi="Times New Roman" w:cs="Times New Roman"/>
          <w:sz w:val="24"/>
          <w:szCs w:val="24"/>
        </w:rPr>
      </w:pPr>
    </w:p>
    <w:p w:rsidR="00F407C4" w:rsidRPr="00F407C4" w:rsidRDefault="00F407C4" w:rsidP="00F407C4">
      <w:pPr>
        <w:spacing w:line="360" w:lineRule="auto"/>
        <w:rPr>
          <w:rFonts w:ascii="Times New Roman" w:hAnsi="Times New Roman" w:cs="Times New Roman"/>
          <w:sz w:val="24"/>
          <w:szCs w:val="24"/>
        </w:rPr>
      </w:pPr>
    </w:p>
    <w:p w:rsidR="00457B90" w:rsidRPr="00F407C4" w:rsidRDefault="00457B90" w:rsidP="00F407C4">
      <w:pPr>
        <w:spacing w:line="360" w:lineRule="auto"/>
        <w:rPr>
          <w:rFonts w:ascii="Times New Roman" w:hAnsi="Times New Roman" w:cs="Times New Roman"/>
          <w:sz w:val="24"/>
          <w:szCs w:val="24"/>
        </w:rPr>
      </w:pPr>
    </w:p>
    <w:sectPr w:rsidR="00457B90" w:rsidRPr="00F407C4" w:rsidSect="008E7A9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D8B" w:rsidRDefault="006E3D8B" w:rsidP="00716884">
      <w:pPr>
        <w:spacing w:after="0" w:line="240" w:lineRule="auto"/>
      </w:pPr>
      <w:r>
        <w:separator/>
      </w:r>
    </w:p>
  </w:endnote>
  <w:endnote w:type="continuationSeparator" w:id="1">
    <w:p w:rsidR="006E3D8B" w:rsidRDefault="006E3D8B" w:rsidP="007168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D8B" w:rsidRDefault="006E3D8B" w:rsidP="00716884">
      <w:pPr>
        <w:spacing w:after="0" w:line="240" w:lineRule="auto"/>
      </w:pPr>
      <w:r>
        <w:separator/>
      </w:r>
    </w:p>
  </w:footnote>
  <w:footnote w:type="continuationSeparator" w:id="1">
    <w:p w:rsidR="006E3D8B" w:rsidRDefault="006E3D8B" w:rsidP="00716884">
      <w:pPr>
        <w:spacing w:after="0" w:line="240" w:lineRule="auto"/>
      </w:pPr>
      <w:r>
        <w:continuationSeparator/>
      </w:r>
    </w:p>
  </w:footnote>
  <w:footnote w:id="2">
    <w:p w:rsidR="00AA58BF" w:rsidRDefault="00AA58BF" w:rsidP="00716884">
      <w:pPr>
        <w:pStyle w:val="FootnoteText"/>
        <w:spacing w:line="276" w:lineRule="auto"/>
        <w:jc w:val="both"/>
        <w:rPr>
          <w:rFonts w:ascii="Times New Roman" w:hAnsi="Times New Roman" w:cs="Times New Roman"/>
        </w:rPr>
      </w:pPr>
      <w:r>
        <w:rPr>
          <w:rFonts w:ascii="Times New Roman" w:hAnsi="Times New Roman" w:cs="Times New Roman"/>
        </w:rPr>
        <w:t>*Ph.D, Department of Islamic Law, Faculty of Law, Al-Hikmah University, Ilorin, Nigeria, aa</w:t>
      </w:r>
      <w:r w:rsidR="001019C0">
        <w:rPr>
          <w:rFonts w:ascii="Times New Roman" w:hAnsi="Times New Roman" w:cs="Times New Roman"/>
        </w:rPr>
        <w:t>onikosi</w:t>
      </w:r>
      <w:r>
        <w:rPr>
          <w:rFonts w:ascii="Times New Roman" w:hAnsi="Times New Roman" w:cs="Times New Roman"/>
        </w:rPr>
        <w:t>@alhikmah.edu.ng</w:t>
      </w:r>
    </w:p>
    <w:p w:rsidR="00AA58BF" w:rsidRDefault="00AA58BF" w:rsidP="00716884">
      <w:pPr>
        <w:pStyle w:val="FootnoteText"/>
        <w:spacing w:line="276" w:lineRule="auto"/>
        <w:jc w:val="both"/>
        <w:rPr>
          <w:rFonts w:ascii="Times New Roman" w:hAnsi="Times New Roman" w:cs="Times New Roman"/>
        </w:rPr>
      </w:pPr>
      <w:r>
        <w:rPr>
          <w:rFonts w:ascii="Times New Roman" w:hAnsi="Times New Roman" w:cs="Times New Roman"/>
        </w:rPr>
        <w:t>**Department of Private and Business Law, Faculty of Law, Al-Hikmah University, Ilorin, Nigeria, aaaminu@alhikmah.edu.ng</w:t>
      </w:r>
    </w:p>
    <w:p w:rsidR="00AA58BF" w:rsidRDefault="00AA58BF" w:rsidP="00716884">
      <w:pPr>
        <w:pStyle w:val="FootnoteText"/>
        <w:spacing w:line="276" w:lineRule="auto"/>
        <w:jc w:val="both"/>
        <w:rPr>
          <w:rFonts w:ascii="Times New Roman" w:hAnsi="Times New Roman" w:cs="Times New Roman"/>
        </w:rPr>
      </w:pPr>
      <w:r>
        <w:rPr>
          <w:rFonts w:ascii="Times New Roman" w:hAnsi="Times New Roman" w:cs="Times New Roman"/>
        </w:rPr>
        <w:t xml:space="preserve">***Department of Islamic Law, Faculty of Law, Kwara State University, Malete, </w:t>
      </w:r>
      <w:hyperlink r:id="rId1" w:history="1">
        <w:r w:rsidRPr="0086457E">
          <w:rPr>
            <w:rStyle w:val="Hyperlink"/>
            <w:rFonts w:ascii="Times New Roman" w:hAnsi="Times New Roman" w:cs="Times New Roman"/>
          </w:rPr>
          <w:t>ahmed.muhammed-mikaaeel@kwasu.edu.ng</w:t>
        </w:r>
      </w:hyperlink>
      <w:r>
        <w:rPr>
          <w:rFonts w:ascii="Times New Roman" w:hAnsi="Times New Roman" w:cs="Times New Roman"/>
        </w:rPr>
        <w:t xml:space="preserve"> </w:t>
      </w:r>
    </w:p>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Hussein I.A, </w:t>
      </w:r>
      <w:r w:rsidRPr="006D67DA">
        <w:rPr>
          <w:rFonts w:ascii="Times New Roman" w:hAnsi="Times New Roman" w:cs="Times New Roman"/>
          <w:i/>
        </w:rPr>
        <w:t>“Principals of Islamic finance: a focus on project finance”,</w:t>
      </w:r>
      <w:r w:rsidRPr="006D67DA">
        <w:rPr>
          <w:rFonts w:ascii="Times New Roman" w:hAnsi="Times New Roman" w:cs="Times New Roman"/>
        </w:rPr>
        <w:t xml:space="preserve"> Munich Personal Re PEc Archive (2011), available at  </w:t>
      </w:r>
      <w:hyperlink r:id="rId2" w:history="1">
        <w:r w:rsidRPr="006D67DA">
          <w:rPr>
            <w:rStyle w:val="Hyperlink"/>
            <w:rFonts w:ascii="Times New Roman" w:hAnsi="Times New Roman" w:cs="Times New Roman"/>
          </w:rPr>
          <w:t>http://papers.ssrn.com/sol3/papers.cfm?abstract_id=i8o6305</w:t>
        </w:r>
      </w:hyperlink>
      <w:r w:rsidRPr="006D67DA">
        <w:rPr>
          <w:rFonts w:ascii="Times New Roman" w:hAnsi="Times New Roman" w:cs="Times New Roman"/>
        </w:rPr>
        <w:t xml:space="preserve">  accessed 14/09/19</w:t>
      </w:r>
    </w:p>
  </w:footnote>
  <w:footnote w:id="3">
    <w:p w:rsidR="000A06A5" w:rsidRPr="006D67DA" w:rsidRDefault="000A06A5" w:rsidP="000A06A5">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Evi Bodie </w:t>
      </w:r>
      <w:r w:rsidRPr="006D67DA">
        <w:rPr>
          <w:rFonts w:ascii="Times New Roman" w:hAnsi="Times New Roman" w:cs="Times New Roman"/>
          <w:i/>
        </w:rPr>
        <w:t>“Pension Funds And Financial Innovation”</w:t>
      </w:r>
      <w:r w:rsidRPr="006D67DA">
        <w:rPr>
          <w:rFonts w:ascii="Times New Roman" w:hAnsi="Times New Roman" w:cs="Times New Roman"/>
        </w:rPr>
        <w:t xml:space="preserve"> Working Paper No. 3101 National Bureau Of Economic Research 1050 Massachusetts Avenue Cambridge, MA 02138  (September 1989)</w:t>
      </w:r>
    </w:p>
  </w:footnote>
  <w:footnote w:id="4">
    <w:p w:rsidR="00C73E95" w:rsidRPr="006D67DA" w:rsidRDefault="00C73E95" w:rsidP="00C73E95">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85 Pension Reform Act 2014</w:t>
      </w:r>
    </w:p>
  </w:footnote>
  <w:footnote w:id="5">
    <w:p w:rsidR="00C73E95" w:rsidRPr="006D67DA" w:rsidRDefault="00C73E95" w:rsidP="00C73E95">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Odia, J.O and Okoye, A. E  </w:t>
      </w:r>
      <w:r w:rsidRPr="006D67DA">
        <w:rPr>
          <w:rFonts w:ascii="Times New Roman" w:hAnsi="Times New Roman" w:cs="Times New Roman"/>
          <w:i/>
        </w:rPr>
        <w:t>“Pensions Reform In Nigeria: A Comparison Between The Old And New Scheme”</w:t>
      </w:r>
      <w:r w:rsidRPr="006D67DA">
        <w:rPr>
          <w:rFonts w:ascii="Times New Roman" w:hAnsi="Times New Roman" w:cs="Times New Roman"/>
        </w:rPr>
        <w:t xml:space="preserve"> Afro Asian Journal of Social Sciences Volume 3, No. 3.1 Quarter I  ISSN: 2229 – 5313, (2012)  </w:t>
      </w:r>
    </w:p>
  </w:footnote>
  <w:footnote w:id="6">
    <w:p w:rsidR="00C73E95" w:rsidRPr="006D67DA" w:rsidRDefault="00C73E95" w:rsidP="00C73E95">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88</w:t>
      </w:r>
    </w:p>
  </w:footnote>
  <w:footnote w:id="7">
    <w:p w:rsidR="00C73E95" w:rsidRPr="006D67DA" w:rsidRDefault="00C73E95" w:rsidP="00C73E95">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89</w:t>
      </w:r>
    </w:p>
  </w:footnote>
  <w:footnote w:id="8">
    <w:p w:rsidR="007D5ECF" w:rsidRPr="006D67DA" w:rsidRDefault="007D5ECF" w:rsidP="007D5ECF">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See section 3 of Pension Reform Act, 2014</w:t>
      </w:r>
    </w:p>
  </w:footnote>
  <w:footnote w:id="9">
    <w:p w:rsidR="007D5ECF" w:rsidRPr="006D67DA" w:rsidRDefault="007D5ECF" w:rsidP="007D5ECF">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See sections 85-88 of Pension Reform Act, 2014</w:t>
      </w:r>
    </w:p>
  </w:footnote>
  <w:footnote w:id="10">
    <w:p w:rsidR="007D5ECF" w:rsidRPr="006D67DA" w:rsidRDefault="007D5ECF" w:rsidP="007D5ECF">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Bakae, M.U. Abdul Rahim, A.K. ‘Maqasid Al-Shariah Theory: A Comparative Analysis between the Thoughts of Al-Shatibi and ‘Izz Al-Din ibn ‘Abd Al-Salam’</w:t>
      </w:r>
      <w:r w:rsidRPr="006D67DA">
        <w:rPr>
          <w:rFonts w:ascii="Times New Roman" w:hAnsi="Times New Roman" w:cs="Times New Roman"/>
          <w:i/>
        </w:rPr>
        <w:t xml:space="preserve"> International journal of Academic Research in Business &amp; Social Sciences, </w:t>
      </w:r>
      <w:r w:rsidRPr="006D67DA">
        <w:rPr>
          <w:rFonts w:ascii="Times New Roman" w:hAnsi="Times New Roman" w:cs="Times New Roman"/>
        </w:rPr>
        <w:t xml:space="preserve">Vol. 11, (8), 2021, 108-193 </w:t>
      </w:r>
    </w:p>
  </w:footnote>
  <w:footnote w:id="11">
    <w:p w:rsidR="007D5ECF" w:rsidRPr="006D67DA" w:rsidRDefault="007D5ECF" w:rsidP="007D5ECF">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 xml:space="preserve">Hamat, M.D., et al, ‘Concept of Amanah (Trustworthiness) and Al-Mas’uliyyah (Responsibility) for Human’s Character from Ethical Islamic Perspective’ Journal of Legal, Ethical and Regulatory Issues, Vol. 22 (1), 1-12. </w:t>
      </w:r>
    </w:p>
  </w:footnote>
  <w:footnote w:id="12">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lang w:val="en-US"/>
        </w:rPr>
        <w:t>See Pension Reform Act, 2014</w:t>
      </w:r>
    </w:p>
  </w:footnote>
  <w:footnote w:id="13">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lang w:val="en-US"/>
        </w:rPr>
        <w:t xml:space="preserve">Ibid </w:t>
      </w:r>
    </w:p>
  </w:footnote>
  <w:footnote w:id="14">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1, </w:t>
      </w:r>
      <w:r w:rsidRPr="006D67DA">
        <w:rPr>
          <w:rFonts w:ascii="Times New Roman" w:hAnsi="Times New Roman" w:cs="Times New Roman"/>
          <w:lang w:val="en-US"/>
        </w:rPr>
        <w:t>Pension Reform Act, 2014</w:t>
      </w:r>
    </w:p>
  </w:footnote>
  <w:footnote w:id="15">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lang w:val="en-US"/>
        </w:rPr>
        <w:t xml:space="preserve">Ibid </w:t>
      </w:r>
    </w:p>
  </w:footnote>
  <w:footnote w:id="16">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lang w:val="en-US"/>
        </w:rPr>
        <w:t>Salifu, I. Odame, E.D. Abubakar, J.U. ‘University Teachers Decisions on Post-retirement Employment: Do Demographic Variables Count?’ Gerontology &amp; Geriatric Medicine, Vol. 7, 2021, 1-10</w:t>
      </w:r>
    </w:p>
  </w:footnote>
  <w:footnote w:id="17">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See sections 90-103 of Pension Reform Act, 2014</w:t>
      </w:r>
    </w:p>
  </w:footnote>
  <w:footnote w:id="18">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 xml:space="preserve"> Umar, B. ’An Islamic Pension Fund Administration Scheme in Nigeria’ </w:t>
      </w:r>
      <w:r w:rsidRPr="006D67DA">
        <w:rPr>
          <w:rFonts w:ascii="Times New Roman" w:hAnsi="Times New Roman" w:cs="Times New Roman"/>
          <w:i/>
        </w:rPr>
        <w:t>Journal of Global Economics and Business,</w:t>
      </w:r>
      <w:r w:rsidRPr="006D67DA">
        <w:rPr>
          <w:rFonts w:ascii="Times New Roman" w:hAnsi="Times New Roman" w:cs="Times New Roman"/>
        </w:rPr>
        <w:t xml:space="preserve"> Vol. 2 (6), 89-102.  </w:t>
      </w:r>
    </w:p>
  </w:footnote>
  <w:footnote w:id="19">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lang w:val="en-US"/>
        </w:rPr>
        <w:t xml:space="preserve">Ibid </w:t>
      </w:r>
    </w:p>
  </w:footnote>
  <w:footnote w:id="20">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lang w:val="en-US"/>
        </w:rPr>
        <w:t>See sections 85-88 of Pension Reform Act, 2014.</w:t>
      </w:r>
    </w:p>
  </w:footnote>
  <w:footnote w:id="21">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lang w:val="en-US"/>
        </w:rPr>
        <w:t xml:space="preserve">Ibid </w:t>
      </w:r>
    </w:p>
  </w:footnote>
  <w:footnote w:id="22">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Ismail Al Faruqi &amp; Gammal Al Banna, Towards Islamic Labour &amp; Unionism: Three Papers 68 (1984); see also Hauwa Ibrahim, Practicing Sharia Law: Seven Strategies For Achieving Justice In Shariah Courts 203 (2012) (discussing the importance of the concept of justice in Islam).</w:t>
      </w:r>
    </w:p>
  </w:footnote>
  <w:footnote w:id="23">
    <w:p w:rsidR="00716884" w:rsidRPr="006D67DA" w:rsidRDefault="00716884" w:rsidP="00716884">
      <w:pPr>
        <w:pStyle w:val="FootnoteText"/>
        <w:spacing w:line="276" w:lineRule="auto"/>
        <w:jc w:val="both"/>
        <w:rPr>
          <w:rFonts w:ascii="Times New Roman" w:hAnsi="Times New Roman" w:cs="Times New Roman"/>
          <w:lang w:val="en-US"/>
        </w:rPr>
      </w:pPr>
      <w:r w:rsidRPr="006D67DA">
        <w:rPr>
          <w:rStyle w:val="FootnoteReference"/>
          <w:rFonts w:ascii="Times New Roman" w:hAnsi="Times New Roman" w:cs="Times New Roman"/>
        </w:rPr>
        <w:footnoteRef/>
      </w:r>
      <w:r w:rsidRPr="006D67DA">
        <w:rPr>
          <w:rFonts w:ascii="Times New Roman" w:hAnsi="Times New Roman" w:cs="Times New Roman"/>
        </w:rPr>
        <w:t>Ibid</w:t>
      </w:r>
    </w:p>
  </w:footnote>
  <w:footnote w:id="24">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Muhammad Iman Sastra Mihajat </w:t>
      </w:r>
      <w:r w:rsidRPr="006D67DA">
        <w:rPr>
          <w:rFonts w:ascii="Times New Roman" w:hAnsi="Times New Roman" w:cs="Times New Roman"/>
          <w:i/>
        </w:rPr>
        <w:t>“Contemporary Practice of Ribā, Gharar And Maysir In Islamic Banking And Finance”</w:t>
      </w:r>
      <w:r w:rsidRPr="006D67DA">
        <w:rPr>
          <w:rFonts w:ascii="Times New Roman" w:hAnsi="Times New Roman" w:cs="Times New Roman"/>
        </w:rPr>
        <w:t xml:space="preserve"> 1 International Journal of Islamic Management and Business Vol. 2, No. 2, (August 2016)</w:t>
      </w:r>
    </w:p>
  </w:footnote>
  <w:footnote w:id="25">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Ibid.</w:t>
      </w:r>
    </w:p>
  </w:footnote>
  <w:footnote w:id="26">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Nima Mersadi Tabari,</w:t>
      </w:r>
      <w:r w:rsidRPr="006D67DA">
        <w:rPr>
          <w:rFonts w:ascii="Times New Roman" w:hAnsi="Times New Roman" w:cs="Times New Roman"/>
          <w:i/>
        </w:rPr>
        <w:t xml:space="preserve"> 'Islamic finance and the modem world: the legal principles governing Islamic finance in international trade'</w:t>
      </w:r>
      <w:r w:rsidRPr="006D67DA">
        <w:rPr>
          <w:rFonts w:ascii="Times New Roman" w:hAnsi="Times New Roman" w:cs="Times New Roman"/>
        </w:rPr>
        <w:t xml:space="preserve">, The Company Lawyer 31(8) (2010), pp.249-254. </w:t>
      </w:r>
    </w:p>
  </w:footnote>
  <w:footnote w:id="27">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1263-1328, full name, Taqi ad-Din Abu 1-Abbas Ahmad ibn Abd al-Halim ibn Abd as-Salam Ibn Taymiyyah al-Harrani, renowned scholar of the Hanbali School of law.</w:t>
      </w:r>
    </w:p>
  </w:footnote>
  <w:footnote w:id="28">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Sami al-Suwailem, </w:t>
      </w:r>
      <w:r w:rsidRPr="006D67DA">
        <w:rPr>
          <w:rFonts w:ascii="Times New Roman" w:hAnsi="Times New Roman" w:cs="Times New Roman"/>
          <w:i/>
        </w:rPr>
        <w:t>"Towards an objective measure of gharar in exchange",</w:t>
      </w:r>
      <w:r w:rsidRPr="006D67DA">
        <w:rPr>
          <w:rFonts w:ascii="Times New Roman" w:hAnsi="Times New Roman" w:cs="Times New Roman"/>
        </w:rPr>
        <w:t xml:space="preserve"> Islamic Economic Studies, Vol. 7(1 &amp; 2) (Oct. 1999, April. 2000)</w:t>
      </w:r>
    </w:p>
  </w:footnote>
  <w:footnote w:id="29">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1292-1350, full name Ibn al-Qayyim al-Jawziyyah, scholar of the Hanbali School.</w:t>
      </w:r>
    </w:p>
  </w:footnote>
  <w:footnote w:id="30">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Sami al-Suwailem, supra note</w:t>
      </w:r>
    </w:p>
  </w:footnote>
  <w:footnote w:id="31">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Sami al-Suwailem, supra note 4. 7 To ensure equity of a transaction, each party should have a detailed knowledge of the subject matter, thereby removing the inclusion of uncertainty (gharar) in the contract which results in illicit gain (riba al-fadl or riba of excess); Averroes, or Ibn Rushd (d. 1198), a great Malik! jurist who stated the cause of an illicit sale has four grounds: riba, gharar and terms that conduce one or two or a combination of the last two. F.E. Vogel and S.L. Hayes, III, Islamic Law and Finance, Religion, Risk and Return, Arab &amp; Islamic Laws Series (Leiden: Brill, 1998) pp. 68,78</w:t>
      </w:r>
    </w:p>
  </w:footnote>
  <w:footnote w:id="32">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Sami al-Suwailem, supra note 4. 7 To ensure equity of a transaction, each party should have a detailed knowledge of the subject matter, thereby removing the inclusion of uncertainty (gharar) in the contract which results in illicit gain (riba al-fadl or riba of excess); Averroes, or Ibn Rushd (d. 1198), a great Malik! jurist who stated the cause of an illicit sale has four grounds: riba, gharar and terms that conduce one or two or a combination of the last two. F.E. Vogel and S.L. Hayes, III, Islamic Law and Finance, Religion, Risk and Return, Arab &amp; Islamic Laws Series (Leiden: Brill, 1998) pp. 68,78</w:t>
      </w:r>
    </w:p>
  </w:footnote>
  <w:footnote w:id="33">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Kamali, M. H. </w:t>
      </w:r>
      <w:r w:rsidRPr="006D67DA">
        <w:rPr>
          <w:rFonts w:ascii="Times New Roman" w:hAnsi="Times New Roman" w:cs="Times New Roman"/>
          <w:i/>
        </w:rPr>
        <w:t>“Uncertainty and Risk Taking (Gharar) in Islamic Law”</w:t>
      </w:r>
      <w:r w:rsidRPr="006D67DA">
        <w:rPr>
          <w:rFonts w:ascii="Times New Roman" w:hAnsi="Times New Roman" w:cs="Times New Roman"/>
        </w:rPr>
        <w:t>, paper presented at The International Conference on Takaful Insurance, Hilton Hotel, Kuala Lumpur, Malaysia, June 2 1999. IIUM Law Journal, Vol. 7, No. 2 (1999), pp 1-21. (1999),</w:t>
      </w:r>
    </w:p>
  </w:footnote>
  <w:footnote w:id="34">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Ahmad, Taris et al. </w:t>
      </w:r>
      <w:r w:rsidRPr="006D67DA">
        <w:rPr>
          <w:rFonts w:ascii="Times New Roman" w:hAnsi="Times New Roman" w:cs="Times New Roman"/>
          <w:i/>
        </w:rPr>
        <w:t>“Islamic Banking and Finance: What It Is and What It Should Be</w:t>
      </w:r>
      <w:r w:rsidRPr="006D67DA">
        <w:rPr>
          <w:rFonts w:ascii="Times New Roman" w:hAnsi="Times New Roman" w:cs="Times New Roman"/>
        </w:rPr>
        <w:t xml:space="preserve">”, UK: 1st Etichal Charitable Trust. (2010), </w:t>
      </w:r>
      <w:r w:rsidR="00EB61B7" w:rsidRPr="00EB61B7">
        <w:rPr>
          <w:rFonts w:ascii="Times New Roman" w:hAnsi="Times New Roman" w:cs="Times New Roman"/>
        </w:rPr>
        <w:t>p. 5</w:t>
      </w:r>
    </w:p>
  </w:footnote>
  <w:footnote w:id="35">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Ibn Rushd, Abu Walīd Muhammad ibn Ahmad. (1401/1981). </w:t>
      </w:r>
      <w:r w:rsidRPr="006D67DA">
        <w:rPr>
          <w:rFonts w:ascii="Times New Roman" w:hAnsi="Times New Roman" w:cs="Times New Roman"/>
          <w:i/>
        </w:rPr>
        <w:t>“Bidayat al Mujtahid wa Nihayat al Muqtasid”,</w:t>
      </w:r>
      <w:r w:rsidRPr="006D67DA">
        <w:rPr>
          <w:rFonts w:ascii="Times New Roman" w:hAnsi="Times New Roman" w:cs="Times New Roman"/>
        </w:rPr>
        <w:t xml:space="preserve"> Vol. 2.  Beirut: Dār al-Kutub Al-„Ilmiyyah.</w:t>
      </w:r>
    </w:p>
  </w:footnote>
  <w:footnote w:id="36">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Ibid.</w:t>
      </w:r>
    </w:p>
  </w:footnote>
  <w:footnote w:id="37">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Kamali, M. H. </w:t>
      </w:r>
      <w:r w:rsidRPr="006D67DA">
        <w:rPr>
          <w:rFonts w:ascii="Times New Roman" w:hAnsi="Times New Roman" w:cs="Times New Roman"/>
          <w:i/>
        </w:rPr>
        <w:t>“Fiqhi Issues in Commodity Futures in “Financial Engineering and Islamic Contracts</w:t>
      </w:r>
      <w:r w:rsidRPr="006D67DA">
        <w:rPr>
          <w:rFonts w:ascii="Times New Roman" w:hAnsi="Times New Roman" w:cs="Times New Roman"/>
        </w:rPr>
        <w:t xml:space="preserve">”, New York: Palgraves. (2005)., pp 20-57. </w:t>
      </w:r>
    </w:p>
  </w:footnote>
  <w:footnote w:id="38">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Ahmad, W. M. </w:t>
      </w:r>
      <w:r w:rsidRPr="006D67DA">
        <w:rPr>
          <w:rFonts w:ascii="Times New Roman" w:hAnsi="Times New Roman" w:cs="Times New Roman"/>
          <w:i/>
        </w:rPr>
        <w:t>“Some Issues of Gharar (Uncertainty) in Insurance”.</w:t>
      </w:r>
      <w:r w:rsidRPr="006D67DA">
        <w:rPr>
          <w:rFonts w:ascii="Times New Roman" w:hAnsi="Times New Roman" w:cs="Times New Roman"/>
        </w:rPr>
        <w:t xml:space="preserve"> Jurnal Syariah , (2002), 10 (2).</w:t>
      </w:r>
    </w:p>
  </w:footnote>
  <w:footnote w:id="39">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Al-Qurthubī, Abi „Abd Allah Muhammad Ibn Ahmad al-Anshārī. </w:t>
      </w:r>
      <w:r w:rsidRPr="006D67DA">
        <w:rPr>
          <w:rFonts w:ascii="Times New Roman" w:hAnsi="Times New Roman" w:cs="Times New Roman"/>
          <w:i/>
        </w:rPr>
        <w:t>“Al-Jāmi’ Li Ahkām Al-Qur’ān”,</w:t>
      </w:r>
      <w:r w:rsidRPr="006D67DA">
        <w:rPr>
          <w:rFonts w:ascii="Times New Roman" w:hAnsi="Times New Roman" w:cs="Times New Roman"/>
        </w:rPr>
        <w:t xml:space="preserve"> Dār al-Hadith, Vol. 2. Cairo: (2010).</w:t>
      </w:r>
    </w:p>
  </w:footnote>
  <w:footnote w:id="40">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ibid</w:t>
      </w:r>
    </w:p>
  </w:footnote>
  <w:footnote w:id="41">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Al-Misri, Rafiq Yunus. </w:t>
      </w:r>
      <w:r w:rsidRPr="006D67DA">
        <w:rPr>
          <w:rFonts w:ascii="Times New Roman" w:hAnsi="Times New Roman" w:cs="Times New Roman"/>
          <w:i/>
        </w:rPr>
        <w:t>“Al-Maysir wa al-Qimar al-Musābaqaāt wa al-Jawāiz”,</w:t>
      </w:r>
      <w:r w:rsidRPr="006D67DA">
        <w:rPr>
          <w:rFonts w:ascii="Times New Roman" w:hAnsi="Times New Roman" w:cs="Times New Roman"/>
        </w:rPr>
        <w:t xml:space="preserve"> Damascus. (1993).</w:t>
      </w:r>
    </w:p>
  </w:footnote>
  <w:footnote w:id="42">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Kamali, M. H. </w:t>
      </w:r>
      <w:r w:rsidRPr="006D67DA">
        <w:rPr>
          <w:rFonts w:ascii="Times New Roman" w:hAnsi="Times New Roman" w:cs="Times New Roman"/>
          <w:i/>
        </w:rPr>
        <w:t>“Fiqhi Issues in Commodity Futures in “Financial Engineering and Islamic Contracts”,</w:t>
      </w:r>
      <w:r w:rsidRPr="006D67DA">
        <w:rPr>
          <w:rFonts w:ascii="Times New Roman" w:hAnsi="Times New Roman" w:cs="Times New Roman"/>
        </w:rPr>
        <w:t xml:space="preserve"> New York: Palgraves.  (2005), pp 20-57. </w:t>
      </w:r>
    </w:p>
  </w:footnote>
  <w:footnote w:id="43">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Qur’an 5:90</w:t>
      </w:r>
    </w:p>
  </w:footnote>
  <w:footnote w:id="44">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Qur’an 5:91</w:t>
      </w:r>
    </w:p>
  </w:footnote>
  <w:footnote w:id="45">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Nicholas C. Dau-Schmidt, </w:t>
      </w:r>
      <w:r w:rsidRPr="006D67DA">
        <w:rPr>
          <w:rFonts w:ascii="Times New Roman" w:hAnsi="Times New Roman" w:cs="Times New Roman"/>
          <w:i/>
        </w:rPr>
        <w:t>“ Forward Contracts—Prohibitions on Risk and Speculation Under Islamic Law”</w:t>
      </w:r>
      <w:r w:rsidRPr="006D67DA">
        <w:rPr>
          <w:rFonts w:ascii="Times New Roman" w:hAnsi="Times New Roman" w:cs="Times New Roman"/>
        </w:rPr>
        <w:t xml:space="preserve"> Indiana Journal of Global Legal Studies , Vol. 19, No. 2 (Summer 2012), pp. 533-553: Indiana University Press Stable URL: </w:t>
      </w:r>
      <w:hyperlink r:id="rId3" w:history="1">
        <w:r w:rsidRPr="006D67DA">
          <w:rPr>
            <w:rStyle w:val="Hyperlink"/>
            <w:rFonts w:ascii="Times New Roman" w:hAnsi="Times New Roman" w:cs="Times New Roman"/>
          </w:rPr>
          <w:t>https://www.jstor.org/stable/10.2979/indjglolegstu.19.2.533</w:t>
        </w:r>
      </w:hyperlink>
      <w:r w:rsidRPr="006D67DA">
        <w:rPr>
          <w:rFonts w:ascii="Times New Roman" w:hAnsi="Times New Roman" w:cs="Times New Roman"/>
        </w:rPr>
        <w:t xml:space="preserve"> accessed 15/09/19</w:t>
      </w:r>
    </w:p>
  </w:footnote>
  <w:footnote w:id="46">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See frank E. Vogel &amp; Samuel . Hayes, , </w:t>
      </w:r>
      <w:r w:rsidRPr="006D67DA">
        <w:rPr>
          <w:rFonts w:ascii="Times New Roman" w:hAnsi="Times New Roman" w:cs="Times New Roman"/>
          <w:i/>
        </w:rPr>
        <w:t>“Islamic law and finance: religion,risk, and return”</w:t>
      </w:r>
      <w:r w:rsidRPr="006D67DA">
        <w:rPr>
          <w:rFonts w:ascii="Times New Roman" w:hAnsi="Times New Roman" w:cs="Times New Roman"/>
        </w:rPr>
        <w:t xml:space="preserve"> (these hadiths on gharar, which means “risk” or “uncertainty” in Arabic, are attributed to Ibn Hanbal, Ibn Maja, Bukhari, and Muslim). (1998), p. 88</w:t>
      </w:r>
    </w:p>
  </w:footnote>
  <w:footnote w:id="47">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00E14E8A">
        <w:rPr>
          <w:rFonts w:ascii="Times New Roman" w:hAnsi="Times New Roman" w:cs="Times New Roman"/>
        </w:rPr>
        <w:t xml:space="preserve"> Ibid </w:t>
      </w:r>
    </w:p>
  </w:footnote>
  <w:footnote w:id="48">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Q22;5</w:t>
      </w:r>
    </w:p>
  </w:footnote>
  <w:footnote w:id="49">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Q16:92</w:t>
      </w:r>
    </w:p>
  </w:footnote>
  <w:footnote w:id="50">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Al-Zuhaili’. </w:t>
      </w:r>
      <w:r w:rsidRPr="006D67DA">
        <w:rPr>
          <w:rFonts w:ascii="Times New Roman" w:hAnsi="Times New Roman" w:cs="Times New Roman"/>
          <w:i/>
        </w:rPr>
        <w:t>“Financial Transactions in Islamic Jurisprudence”.</w:t>
      </w:r>
      <w:r w:rsidRPr="006D67DA">
        <w:rPr>
          <w:rFonts w:ascii="Times New Roman" w:hAnsi="Times New Roman" w:cs="Times New Roman"/>
        </w:rPr>
        <w:t xml:space="preserve"> (M. A. El-Gamal, Trans.) Damascus: Dar Al-Fikr. (2001),</w:t>
      </w:r>
    </w:p>
  </w:footnote>
  <w:footnote w:id="51">
    <w:p w:rsidR="00716884" w:rsidRPr="006D67DA" w:rsidRDefault="00716884" w:rsidP="00716884">
      <w:pPr>
        <w:spacing w:after="0"/>
        <w:jc w:val="both"/>
        <w:rPr>
          <w:rFonts w:ascii="Times New Roman" w:hAnsi="Times New Roman" w:cs="Times New Roman"/>
          <w:sz w:val="20"/>
          <w:szCs w:val="20"/>
        </w:rPr>
      </w:pPr>
      <w:r w:rsidRPr="006D67DA">
        <w:rPr>
          <w:rStyle w:val="FootnoteReference"/>
          <w:rFonts w:ascii="Times New Roman" w:hAnsi="Times New Roman" w:cs="Times New Roman"/>
          <w:sz w:val="20"/>
          <w:szCs w:val="20"/>
        </w:rPr>
        <w:footnoteRef/>
      </w:r>
      <w:r w:rsidRPr="006D67DA">
        <w:rPr>
          <w:rFonts w:ascii="Times New Roman" w:hAnsi="Times New Roman" w:cs="Times New Roman"/>
          <w:sz w:val="20"/>
          <w:szCs w:val="20"/>
        </w:rPr>
        <w:t xml:space="preserve"> Reyadh Mohamed Seyadi, </w:t>
      </w:r>
      <w:r w:rsidRPr="006D67DA">
        <w:rPr>
          <w:rFonts w:ascii="Times New Roman" w:hAnsi="Times New Roman" w:cs="Times New Roman"/>
          <w:i/>
          <w:sz w:val="20"/>
          <w:szCs w:val="20"/>
        </w:rPr>
        <w:t>“Legal Aspect of Islamic Finance”</w:t>
      </w:r>
      <w:r w:rsidRPr="006D67DA">
        <w:rPr>
          <w:rFonts w:ascii="Times New Roman" w:hAnsi="Times New Roman" w:cs="Times New Roman"/>
          <w:sz w:val="20"/>
          <w:szCs w:val="20"/>
        </w:rPr>
        <w:t xml:space="preserve"> Arab Law Quarterly, Vol. 29, No. 3 (2015), pp. 285-295 Published by: Brill Stable URL: </w:t>
      </w:r>
      <w:hyperlink r:id="rId4" w:history="1">
        <w:r w:rsidRPr="006D67DA">
          <w:rPr>
            <w:rStyle w:val="Hyperlink"/>
            <w:rFonts w:ascii="Times New Roman" w:hAnsi="Times New Roman" w:cs="Times New Roman"/>
            <w:sz w:val="20"/>
            <w:szCs w:val="20"/>
          </w:rPr>
          <w:t>https://www.jstor.org/stable/24811029</w:t>
        </w:r>
      </w:hyperlink>
      <w:r w:rsidRPr="006D67DA">
        <w:rPr>
          <w:rFonts w:ascii="Times New Roman" w:hAnsi="Times New Roman" w:cs="Times New Roman"/>
          <w:sz w:val="20"/>
          <w:szCs w:val="20"/>
        </w:rPr>
        <w:t xml:space="preserve">/  Accessed: 15-09-2019 </w:t>
      </w:r>
    </w:p>
  </w:footnote>
  <w:footnote w:id="52">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Muhammed, S A.  </w:t>
      </w:r>
      <w:r w:rsidRPr="006D67DA">
        <w:rPr>
          <w:rFonts w:ascii="Times New Roman" w:hAnsi="Times New Roman" w:cs="Times New Roman"/>
          <w:i/>
        </w:rPr>
        <w:t>“Understanding Islamic Finance”</w:t>
      </w:r>
      <w:r w:rsidRPr="006D67DA">
        <w:rPr>
          <w:rFonts w:ascii="Times New Roman" w:hAnsi="Times New Roman" w:cs="Times New Roman"/>
        </w:rPr>
        <w:t xml:space="preserve"> (London: John Wiley &amp; Sons, 2008), p.58.</w:t>
      </w:r>
    </w:p>
  </w:footnote>
  <w:footnote w:id="53">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Muhammad Iman Sastra Mihajat1’. </w:t>
      </w:r>
      <w:r w:rsidRPr="006D67DA">
        <w:rPr>
          <w:rFonts w:ascii="Times New Roman" w:hAnsi="Times New Roman" w:cs="Times New Roman"/>
          <w:i/>
        </w:rPr>
        <w:t>“ Contemporary Practice Of Ribā, Gharar And Maysir In Islamic Banking And Finance”</w:t>
      </w:r>
      <w:r w:rsidRPr="006D67DA">
        <w:rPr>
          <w:rFonts w:ascii="Times New Roman" w:hAnsi="Times New Roman" w:cs="Times New Roman"/>
        </w:rPr>
        <w:t xml:space="preserve"> IIUM International Journal of Islamic Management and Business Vol. 2, No. 2, (August 2016) </w:t>
      </w:r>
    </w:p>
  </w:footnote>
  <w:footnote w:id="54">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Ibid</w:t>
      </w:r>
    </w:p>
  </w:footnote>
  <w:footnote w:id="55">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Qur’an 3 verse130</w:t>
      </w:r>
    </w:p>
  </w:footnote>
  <w:footnote w:id="56">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Tabari quoted in A. Saeed, </w:t>
      </w:r>
      <w:r w:rsidRPr="006D67DA">
        <w:rPr>
          <w:rFonts w:ascii="Times New Roman" w:hAnsi="Times New Roman" w:cs="Times New Roman"/>
          <w:i/>
        </w:rPr>
        <w:t>“Islamic Banking and Interest: A Study of the Prohibition of Riba and its Contemporary Interpretation”</w:t>
      </w:r>
      <w:r w:rsidRPr="006D67DA">
        <w:rPr>
          <w:rFonts w:ascii="Times New Roman" w:hAnsi="Times New Roman" w:cs="Times New Roman"/>
        </w:rPr>
        <w:t xml:space="preserve"> (New York, 1996), p. 22. Hereinafter A. Saaed. 4 Ibn Hajar quoted in A. Saeed, 22.</w:t>
      </w:r>
    </w:p>
  </w:footnote>
  <w:footnote w:id="57">
    <w:p w:rsidR="00716884" w:rsidRPr="006D67DA" w:rsidRDefault="00716884" w:rsidP="00716884">
      <w:pPr>
        <w:jc w:val="both"/>
        <w:rPr>
          <w:rFonts w:ascii="Times New Roman" w:hAnsi="Times New Roman" w:cs="Times New Roman"/>
          <w:sz w:val="20"/>
          <w:szCs w:val="20"/>
        </w:rPr>
      </w:pPr>
      <w:r w:rsidRPr="006D67DA">
        <w:rPr>
          <w:rStyle w:val="FootnoteReference"/>
          <w:rFonts w:ascii="Times New Roman" w:hAnsi="Times New Roman" w:cs="Times New Roman"/>
          <w:sz w:val="20"/>
          <w:szCs w:val="20"/>
        </w:rPr>
        <w:footnoteRef/>
      </w:r>
      <w:r w:rsidRPr="006D67DA">
        <w:rPr>
          <w:rFonts w:ascii="Times New Roman" w:hAnsi="Times New Roman" w:cs="Times New Roman"/>
          <w:sz w:val="20"/>
          <w:szCs w:val="20"/>
        </w:rPr>
        <w:t xml:space="preserve"> Mohammad Omar Farooq’. </w:t>
      </w:r>
      <w:r w:rsidRPr="006D67DA">
        <w:rPr>
          <w:rFonts w:ascii="Times New Roman" w:hAnsi="Times New Roman" w:cs="Times New Roman"/>
          <w:i/>
          <w:sz w:val="20"/>
          <w:szCs w:val="20"/>
        </w:rPr>
        <w:t>“Stipulation of Excess in Understanding and Misunderstanding Riba</w:t>
      </w:r>
      <w:r w:rsidRPr="006D67DA">
        <w:rPr>
          <w:rFonts w:ascii="Times New Roman" w:hAnsi="Times New Roman" w:cs="Times New Roman"/>
          <w:sz w:val="20"/>
          <w:szCs w:val="20"/>
        </w:rPr>
        <w:t xml:space="preserve">”: The Al-Jassas Link Arab Law Quarterly, Vol. 21, No. 4 (2007), pp.285-316 Published by: Brill Stable </w:t>
      </w:r>
      <w:hyperlink r:id="rId5" w:history="1">
        <w:r w:rsidRPr="006D67DA">
          <w:rPr>
            <w:rStyle w:val="Hyperlink"/>
            <w:rFonts w:ascii="Times New Roman" w:hAnsi="Times New Roman" w:cs="Times New Roman"/>
            <w:sz w:val="20"/>
            <w:szCs w:val="20"/>
          </w:rPr>
          <w:t>URL:https://www.jstor.org/stable/27650597/</w:t>
        </w:r>
      </w:hyperlink>
      <w:r w:rsidRPr="006D67DA">
        <w:rPr>
          <w:rFonts w:ascii="Times New Roman" w:hAnsi="Times New Roman" w:cs="Times New Roman"/>
          <w:sz w:val="20"/>
          <w:szCs w:val="20"/>
        </w:rPr>
        <w:t xml:space="preserve">  Accessed: 15-09-2019 04:02 UTC</w:t>
      </w:r>
    </w:p>
    <w:p w:rsidR="00716884" w:rsidRPr="006D67DA" w:rsidRDefault="00716884" w:rsidP="00716884">
      <w:pPr>
        <w:pStyle w:val="FootnoteText"/>
        <w:spacing w:line="276" w:lineRule="auto"/>
        <w:jc w:val="both"/>
        <w:rPr>
          <w:rFonts w:ascii="Times New Roman" w:hAnsi="Times New Roman" w:cs="Times New Roman"/>
        </w:rPr>
      </w:pPr>
    </w:p>
  </w:footnote>
  <w:footnote w:id="58">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Ibn al-Qayyim al-Jawziyyah, Muhammad ibn Abī Bakr. “</w:t>
      </w:r>
      <w:r w:rsidRPr="006D67DA">
        <w:rPr>
          <w:rFonts w:ascii="Times New Roman" w:hAnsi="Times New Roman" w:cs="Times New Roman"/>
          <w:i/>
        </w:rPr>
        <w:t>I’lām al-Muwaqi’īn‘an Rab al-‘Ālamīn”</w:t>
      </w:r>
      <w:r w:rsidRPr="006D67DA">
        <w:rPr>
          <w:rFonts w:ascii="Times New Roman" w:hAnsi="Times New Roman" w:cs="Times New Roman"/>
        </w:rPr>
        <w:t>, Vol. 3. Cairo: Maktabah Ibn Taimiyyah, (1999).</w:t>
      </w:r>
    </w:p>
  </w:footnote>
  <w:footnote w:id="59">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Al-Shirbīnī, Syamsuddīin Muhammad ibn Muhammad al-Khatīb. </w:t>
      </w:r>
      <w:r w:rsidRPr="006D67DA">
        <w:rPr>
          <w:rFonts w:ascii="Times New Roman" w:hAnsi="Times New Roman" w:cs="Times New Roman"/>
          <w:i/>
        </w:rPr>
        <w:t>“Mughni alMuhtāj ilā Ma’rifati Ma’ānī Alfāzi al-Minhāj</w:t>
      </w:r>
      <w:r w:rsidRPr="006D67DA">
        <w:rPr>
          <w:rFonts w:ascii="Times New Roman" w:hAnsi="Times New Roman" w:cs="Times New Roman"/>
        </w:rPr>
        <w:t xml:space="preserve">, Cairo: Dār al-Hadith ,Vol. 2. (2006).  . </w:t>
      </w:r>
    </w:p>
  </w:footnote>
  <w:footnote w:id="60">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Chpara, Umer. </w:t>
      </w:r>
      <w:r w:rsidRPr="006D67DA">
        <w:rPr>
          <w:rFonts w:ascii="Times New Roman" w:hAnsi="Times New Roman" w:cs="Times New Roman"/>
          <w:i/>
        </w:rPr>
        <w:t>“Islamic Banking and Finance: Fundamental and Contemporary Issues, chapter of “The Case Against Riba: Is It Compelling?”.</w:t>
      </w:r>
      <w:r w:rsidRPr="006D67DA">
        <w:rPr>
          <w:rFonts w:ascii="Times New Roman" w:hAnsi="Times New Roman" w:cs="Times New Roman"/>
        </w:rPr>
        <w:t xml:space="preserve"> Saudi Arabia: IRTI-IDB, (2004), pp. 25-50.  </w:t>
      </w:r>
    </w:p>
  </w:footnote>
  <w:footnote w:id="61">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Al-Shirbīnī, Syamsuddīin Muhammad ibn Muhammad al-Khatīb. </w:t>
      </w:r>
      <w:r w:rsidRPr="006D67DA">
        <w:rPr>
          <w:rFonts w:ascii="Times New Roman" w:hAnsi="Times New Roman" w:cs="Times New Roman"/>
          <w:i/>
        </w:rPr>
        <w:t>“Mughni alMuhtāj ilā Ma’rifati Ma’ānī Alfāzi al-Minhāj</w:t>
      </w:r>
      <w:r w:rsidRPr="006D67DA">
        <w:rPr>
          <w:rFonts w:ascii="Times New Roman" w:hAnsi="Times New Roman" w:cs="Times New Roman"/>
        </w:rPr>
        <w:t>, Op.Cit</w:t>
      </w:r>
    </w:p>
  </w:footnote>
  <w:footnote w:id="62">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Muhammad Iman Sastra Mihajat </w:t>
      </w:r>
      <w:r w:rsidRPr="006D67DA">
        <w:rPr>
          <w:rFonts w:ascii="Times New Roman" w:hAnsi="Times New Roman" w:cs="Times New Roman"/>
          <w:i/>
        </w:rPr>
        <w:t>“Contemporary Practice Of Ribā, Gharar And Maysir In Islamic Banking And Finance”</w:t>
      </w:r>
      <w:r w:rsidRPr="006D67DA">
        <w:rPr>
          <w:rFonts w:ascii="Times New Roman" w:hAnsi="Times New Roman" w:cs="Times New Roman"/>
        </w:rPr>
        <w:t xml:space="preserve"> IIUM International Journal of Islamic Management and Business Vol. 2, No. 2, August 2016</w:t>
      </w:r>
    </w:p>
  </w:footnote>
  <w:footnote w:id="63">
    <w:p w:rsidR="00716884" w:rsidRPr="006D67DA" w:rsidRDefault="00716884" w:rsidP="00716884">
      <w:pPr>
        <w:jc w:val="both"/>
        <w:rPr>
          <w:rFonts w:ascii="Times New Roman" w:hAnsi="Times New Roman" w:cs="Times New Roman"/>
          <w:sz w:val="20"/>
          <w:szCs w:val="20"/>
        </w:rPr>
      </w:pPr>
      <w:r w:rsidRPr="006D67DA">
        <w:rPr>
          <w:rStyle w:val="FootnoteReference"/>
          <w:rFonts w:ascii="Times New Roman" w:hAnsi="Times New Roman" w:cs="Times New Roman"/>
          <w:sz w:val="20"/>
          <w:szCs w:val="20"/>
        </w:rPr>
        <w:footnoteRef/>
      </w:r>
      <w:r w:rsidRPr="006D67DA">
        <w:rPr>
          <w:rFonts w:ascii="Times New Roman" w:hAnsi="Times New Roman" w:cs="Times New Roman"/>
          <w:sz w:val="20"/>
          <w:szCs w:val="20"/>
        </w:rPr>
        <w:t xml:space="preserve">Bashar H. Malkawi </w:t>
      </w:r>
      <w:r w:rsidRPr="006D67DA">
        <w:rPr>
          <w:rFonts w:ascii="Times New Roman" w:hAnsi="Times New Roman" w:cs="Times New Roman"/>
          <w:i/>
          <w:sz w:val="20"/>
          <w:szCs w:val="20"/>
        </w:rPr>
        <w:t>“Shari'ah Board in the Governance Structure of Islamic Financial Institutions Source</w:t>
      </w:r>
      <w:r w:rsidRPr="006D67DA">
        <w:rPr>
          <w:rFonts w:ascii="Times New Roman" w:hAnsi="Times New Roman" w:cs="Times New Roman"/>
          <w:sz w:val="20"/>
          <w:szCs w:val="20"/>
        </w:rPr>
        <w:t xml:space="preserve">”: The American Journal of Comparative Law, Vol. 61, No. 3 (SUMMER 2013), pp. 539-577 Published by: Oxford University Press Stable URL: </w:t>
      </w:r>
      <w:hyperlink r:id="rId6" w:history="1">
        <w:r w:rsidRPr="006D67DA">
          <w:rPr>
            <w:rStyle w:val="Hyperlink"/>
            <w:rFonts w:ascii="Times New Roman" w:hAnsi="Times New Roman" w:cs="Times New Roman"/>
            <w:sz w:val="20"/>
            <w:szCs w:val="20"/>
          </w:rPr>
          <w:t>https://www.jstor.org/stable/43668167/</w:t>
        </w:r>
      </w:hyperlink>
      <w:r w:rsidRPr="006D67DA">
        <w:rPr>
          <w:rFonts w:ascii="Times New Roman" w:hAnsi="Times New Roman" w:cs="Times New Roman"/>
          <w:sz w:val="20"/>
          <w:szCs w:val="20"/>
        </w:rPr>
        <w:t xml:space="preserve">  Accessed: 15-09-2019</w:t>
      </w:r>
    </w:p>
  </w:footnote>
  <w:footnote w:id="64">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17 Pension Reform Act 2014</w:t>
      </w:r>
    </w:p>
  </w:footnote>
  <w:footnote w:id="65">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18 Pension Reform Act 2014</w:t>
      </w:r>
    </w:p>
  </w:footnote>
  <w:footnote w:id="66">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24(a)  Pension Reform Act 2014</w:t>
      </w:r>
    </w:p>
  </w:footnote>
  <w:footnote w:id="67">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24(b)  Pension Reform Act 2014</w:t>
      </w:r>
    </w:p>
  </w:footnote>
  <w:footnote w:id="68">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24(c)  Pension Reform Act 2014</w:t>
      </w:r>
    </w:p>
  </w:footnote>
  <w:footnote w:id="69">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24(d)  Pension Reform Act 2014</w:t>
      </w:r>
    </w:p>
  </w:footnote>
  <w:footnote w:id="70">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24(e)  Pension Reform Act 2014</w:t>
      </w:r>
    </w:p>
  </w:footnote>
  <w:footnote w:id="71">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24(f)  Pension Reform Act 2014</w:t>
      </w:r>
    </w:p>
  </w:footnote>
  <w:footnote w:id="72">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24(g)  Pension Reform Act 2014</w:t>
      </w:r>
    </w:p>
  </w:footnote>
  <w:footnote w:id="73">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24(h)  Pension Reform Act 2014</w:t>
      </w:r>
    </w:p>
  </w:footnote>
  <w:footnote w:id="74">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24(i)  Pension Reform Act 2014</w:t>
      </w:r>
    </w:p>
  </w:footnote>
  <w:footnote w:id="75">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24(j)  Pension Reform Act 2014</w:t>
      </w:r>
    </w:p>
  </w:footnote>
  <w:footnote w:id="76">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24(k)  Pension Reform Act 2014</w:t>
      </w:r>
    </w:p>
  </w:footnote>
  <w:footnote w:id="77">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24(l)  Pension Reform Act 2014</w:t>
      </w:r>
    </w:p>
  </w:footnote>
  <w:footnote w:id="78">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24(m)  Pension Reform Act 2014</w:t>
      </w:r>
    </w:p>
  </w:footnote>
  <w:footnote w:id="79">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24(n)  Pension Reform Act 2014</w:t>
      </w:r>
    </w:p>
  </w:footnote>
  <w:footnote w:id="80">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24(o)  Pension Reform Act 2014</w:t>
      </w:r>
    </w:p>
  </w:footnote>
  <w:footnote w:id="81">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26(1)  Pension Reform Act 2014</w:t>
      </w:r>
    </w:p>
  </w:footnote>
  <w:footnote w:id="82">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 27(1)  Pension Reform Act 2014</w:t>
      </w:r>
    </w:p>
  </w:footnote>
  <w:footnote w:id="83">
    <w:p w:rsidR="00716884" w:rsidRPr="006D67DA" w:rsidRDefault="00716884" w:rsidP="00716884">
      <w:pPr>
        <w:pStyle w:val="FootnoteText"/>
        <w:spacing w:line="276" w:lineRule="auto"/>
        <w:jc w:val="both"/>
        <w:rPr>
          <w:rFonts w:ascii="Times New Roman" w:hAnsi="Times New Roman" w:cs="Times New Roman"/>
        </w:rPr>
      </w:pPr>
      <w:r w:rsidRPr="006D67DA">
        <w:rPr>
          <w:rStyle w:val="FootnoteReference"/>
          <w:rFonts w:ascii="Times New Roman" w:hAnsi="Times New Roman" w:cs="Times New Roman"/>
        </w:rPr>
        <w:footnoteRef/>
      </w:r>
      <w:r w:rsidRPr="006D67DA">
        <w:rPr>
          <w:rFonts w:ascii="Times New Roman" w:hAnsi="Times New Roman" w:cs="Times New Roman"/>
        </w:rPr>
        <w:t xml:space="preserve"> Sections 17- 31  Pension Reform Act 2014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25B0C"/>
    <w:multiLevelType w:val="hybridMultilevel"/>
    <w:tmpl w:val="0E4A9E16"/>
    <w:lvl w:ilvl="0" w:tplc="42D8AECA">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F743D9"/>
    <w:multiLevelType w:val="hybridMultilevel"/>
    <w:tmpl w:val="7F6CF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C0024C"/>
    <w:multiLevelType w:val="hybridMultilevel"/>
    <w:tmpl w:val="AA2E3A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3F52E1"/>
    <w:multiLevelType w:val="hybridMultilevel"/>
    <w:tmpl w:val="ADF03D10"/>
    <w:lvl w:ilvl="0" w:tplc="747885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823C98"/>
    <w:multiLevelType w:val="hybridMultilevel"/>
    <w:tmpl w:val="D8B42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E333AD"/>
    <w:multiLevelType w:val="hybridMultilevel"/>
    <w:tmpl w:val="C27EF946"/>
    <w:lvl w:ilvl="0" w:tplc="A64C3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6884"/>
    <w:rsid w:val="00072E44"/>
    <w:rsid w:val="000A06A5"/>
    <w:rsid w:val="000B2865"/>
    <w:rsid w:val="000C7899"/>
    <w:rsid w:val="001019C0"/>
    <w:rsid w:val="00114A49"/>
    <w:rsid w:val="001461B8"/>
    <w:rsid w:val="00174CF4"/>
    <w:rsid w:val="002577FC"/>
    <w:rsid w:val="00262959"/>
    <w:rsid w:val="002F64D6"/>
    <w:rsid w:val="0033071F"/>
    <w:rsid w:val="00332974"/>
    <w:rsid w:val="00381799"/>
    <w:rsid w:val="00387F13"/>
    <w:rsid w:val="00395405"/>
    <w:rsid w:val="003A4341"/>
    <w:rsid w:val="003E06C8"/>
    <w:rsid w:val="0045471E"/>
    <w:rsid w:val="00457B90"/>
    <w:rsid w:val="00474383"/>
    <w:rsid w:val="005074F3"/>
    <w:rsid w:val="0054246B"/>
    <w:rsid w:val="005E7A95"/>
    <w:rsid w:val="00662573"/>
    <w:rsid w:val="006B6DCF"/>
    <w:rsid w:val="006E3D8B"/>
    <w:rsid w:val="00712BC1"/>
    <w:rsid w:val="00716884"/>
    <w:rsid w:val="007B774D"/>
    <w:rsid w:val="007D0337"/>
    <w:rsid w:val="007D5ECF"/>
    <w:rsid w:val="00833A19"/>
    <w:rsid w:val="008377D2"/>
    <w:rsid w:val="008B5C59"/>
    <w:rsid w:val="00922F56"/>
    <w:rsid w:val="009D698E"/>
    <w:rsid w:val="00AA58BF"/>
    <w:rsid w:val="00AB75D1"/>
    <w:rsid w:val="00AD5321"/>
    <w:rsid w:val="00B2262C"/>
    <w:rsid w:val="00B41632"/>
    <w:rsid w:val="00B63BFF"/>
    <w:rsid w:val="00BA7BD4"/>
    <w:rsid w:val="00BC1C91"/>
    <w:rsid w:val="00C15801"/>
    <w:rsid w:val="00C21D20"/>
    <w:rsid w:val="00C73E95"/>
    <w:rsid w:val="00CC6946"/>
    <w:rsid w:val="00D64FC3"/>
    <w:rsid w:val="00E14E8A"/>
    <w:rsid w:val="00E6044E"/>
    <w:rsid w:val="00EA6A65"/>
    <w:rsid w:val="00EB5055"/>
    <w:rsid w:val="00EB61B7"/>
    <w:rsid w:val="00EC5BCE"/>
    <w:rsid w:val="00F16ADF"/>
    <w:rsid w:val="00F407C4"/>
    <w:rsid w:val="00FA085A"/>
    <w:rsid w:val="00FA7A35"/>
    <w:rsid w:val="00FD31DC"/>
    <w:rsid w:val="00FE05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88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884"/>
    <w:pPr>
      <w:spacing w:after="160" w:line="256" w:lineRule="auto"/>
      <w:ind w:left="720"/>
      <w:contextualSpacing/>
    </w:pPr>
    <w:rPr>
      <w:rFonts w:eastAsiaTheme="minorHAnsi"/>
      <w:lang w:val="en-GB"/>
    </w:rPr>
  </w:style>
  <w:style w:type="paragraph" w:styleId="FootnoteText">
    <w:name w:val="footnote text"/>
    <w:basedOn w:val="Normal"/>
    <w:link w:val="FootnoteTextChar"/>
    <w:unhideWhenUsed/>
    <w:rsid w:val="00716884"/>
    <w:pPr>
      <w:spacing w:after="0" w:line="240" w:lineRule="auto"/>
    </w:pPr>
    <w:rPr>
      <w:rFonts w:eastAsiaTheme="minorHAnsi"/>
      <w:sz w:val="20"/>
      <w:szCs w:val="20"/>
      <w:lang w:val="en-GB"/>
    </w:rPr>
  </w:style>
  <w:style w:type="character" w:customStyle="1" w:styleId="FootnoteTextChar">
    <w:name w:val="Footnote Text Char"/>
    <w:basedOn w:val="DefaultParagraphFont"/>
    <w:link w:val="FootnoteText"/>
    <w:rsid w:val="00716884"/>
    <w:rPr>
      <w:sz w:val="20"/>
      <w:szCs w:val="20"/>
      <w:lang w:val="en-GB"/>
    </w:rPr>
  </w:style>
  <w:style w:type="character" w:styleId="FootnoteReference">
    <w:name w:val="footnote reference"/>
    <w:basedOn w:val="DefaultParagraphFont"/>
    <w:uiPriority w:val="99"/>
    <w:unhideWhenUsed/>
    <w:rsid w:val="00716884"/>
    <w:rPr>
      <w:vertAlign w:val="superscript"/>
    </w:rPr>
  </w:style>
  <w:style w:type="character" w:styleId="Hyperlink">
    <w:name w:val="Hyperlink"/>
    <w:rsid w:val="0071688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jstor.org/stable/10.2979/indjglolegstu.19.2.533" TargetMode="External"/><Relationship Id="rId2" Type="http://schemas.openxmlformats.org/officeDocument/2006/relationships/hyperlink" Target="http://papers.ssrn.com/sol3/papers.cfm?abstract_id=i8o6305" TargetMode="External"/><Relationship Id="rId1" Type="http://schemas.openxmlformats.org/officeDocument/2006/relationships/hyperlink" Target="mailto:ahmed.muhammed-mikaaeel@kwasu.edu.ng" TargetMode="External"/><Relationship Id="rId6" Type="http://schemas.openxmlformats.org/officeDocument/2006/relationships/hyperlink" Target="https://www.jstor.org/stable/43668167/" TargetMode="External"/><Relationship Id="rId5" Type="http://schemas.openxmlformats.org/officeDocument/2006/relationships/hyperlink" Target="URL:https://www.jstor.org/stable/27650597/" TargetMode="External"/><Relationship Id="rId4" Type="http://schemas.openxmlformats.org/officeDocument/2006/relationships/hyperlink" Target="https://www.jstor.org/stable/24811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4294966776</TotalTime>
  <Pages>19</Pages>
  <Words>5541</Words>
  <Characters>31585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48</cp:revision>
  <dcterms:created xsi:type="dcterms:W3CDTF">2022-11-06T14:24:00Z</dcterms:created>
  <dcterms:modified xsi:type="dcterms:W3CDTF">2023-08-12T06:21:00Z</dcterms:modified>
</cp:coreProperties>
</file>